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微软雅黑" w:hAnsi="微软雅黑" w:eastAsia="微软雅黑"/>
          <w:b/>
          <w:bCs/>
          <w:sz w:val="28"/>
          <w:szCs w:val="28"/>
        </w:rPr>
      </w:pPr>
      <w:r>
        <w:rPr>
          <w:rFonts w:hint="eastAsia" w:ascii="微软雅黑" w:hAnsi="微软雅黑" w:eastAsia="微软雅黑"/>
          <w:b/>
          <w:bCs/>
          <w:sz w:val="28"/>
          <w:szCs w:val="28"/>
        </w:rPr>
        <w:t>《课程名称》课程思政教学案例</w:t>
      </w:r>
    </w:p>
    <w:p>
      <w:pPr>
        <w:spacing w:line="360" w:lineRule="auto"/>
        <w:rPr>
          <w:rFonts w:hint="eastAsia" w:ascii="微软雅黑" w:hAnsi="微软雅黑" w:eastAsia="微软雅黑"/>
          <w:bCs/>
          <w:sz w:val="24"/>
          <w:szCs w:val="24"/>
          <w:lang w:val="en-US" w:eastAsia="zh-CN"/>
        </w:rPr>
      </w:pPr>
      <w:r>
        <w:rPr>
          <w:rFonts w:hint="eastAsia" w:ascii="微软雅黑" w:hAnsi="微软雅黑" w:eastAsia="微软雅黑"/>
          <w:bCs/>
          <w:sz w:val="24"/>
          <w:szCs w:val="24"/>
        </w:rPr>
        <w:t xml:space="preserve">开课学院：   </w:t>
      </w:r>
      <w:r>
        <w:rPr>
          <w:rFonts w:hint="eastAsia" w:ascii="微软雅黑" w:hAnsi="微软雅黑" w:eastAsia="微软雅黑"/>
          <w:bCs/>
          <w:sz w:val="24"/>
          <w:szCs w:val="24"/>
          <w:lang w:val="en-US" w:eastAsia="zh-CN"/>
        </w:rPr>
        <w:t>药学与生命科学学院</w:t>
      </w:r>
      <w:r>
        <w:rPr>
          <w:rFonts w:hint="eastAsia" w:ascii="微软雅黑" w:hAnsi="微软雅黑" w:eastAsia="微软雅黑"/>
          <w:bCs/>
          <w:sz w:val="24"/>
          <w:szCs w:val="24"/>
        </w:rPr>
        <w:t xml:space="preserve">                  制作人：</w:t>
      </w:r>
      <w:r>
        <w:rPr>
          <w:rFonts w:hint="eastAsia" w:ascii="微软雅黑" w:hAnsi="微软雅黑" w:eastAsia="微软雅黑"/>
          <w:bCs/>
          <w:sz w:val="24"/>
          <w:szCs w:val="24"/>
          <w:lang w:val="en-US" w:eastAsia="zh-CN"/>
        </w:rPr>
        <w:t>郝澍</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2476"/>
        <w:gridCol w:w="2268"/>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center"/>
              <w:rPr>
                <w:rFonts w:ascii="微软雅黑" w:hAnsi="微软雅黑" w:eastAsia="微软雅黑"/>
                <w:bCs/>
                <w:sz w:val="24"/>
                <w:szCs w:val="24"/>
              </w:rPr>
            </w:pPr>
            <w:r>
              <w:rPr>
                <w:rFonts w:hint="eastAsia" w:ascii="微软雅黑" w:hAnsi="微软雅黑" w:eastAsia="微软雅黑"/>
                <w:bCs/>
                <w:sz w:val="24"/>
                <w:szCs w:val="24"/>
              </w:rPr>
              <w:t>课程名称</w:t>
            </w:r>
          </w:p>
        </w:tc>
        <w:tc>
          <w:tcPr>
            <w:tcW w:w="2476" w:type="dxa"/>
          </w:tcPr>
          <w:p>
            <w:pPr>
              <w:spacing w:line="360" w:lineRule="auto"/>
              <w:jc w:val="center"/>
              <w:rPr>
                <w:rFonts w:hint="default" w:ascii="微软雅黑" w:hAnsi="微软雅黑" w:eastAsia="微软雅黑"/>
                <w:bCs/>
                <w:sz w:val="24"/>
                <w:szCs w:val="24"/>
                <w:lang w:val="en-US" w:eastAsia="zh-CN"/>
              </w:rPr>
            </w:pPr>
            <w:r>
              <w:rPr>
                <w:rFonts w:hint="eastAsia" w:ascii="微软雅黑" w:hAnsi="微软雅黑" w:eastAsia="微软雅黑"/>
                <w:bCs/>
                <w:sz w:val="24"/>
                <w:szCs w:val="24"/>
                <w:lang w:val="en-US" w:eastAsia="zh-CN"/>
              </w:rPr>
              <w:t>食品营养学</w:t>
            </w:r>
          </w:p>
        </w:tc>
        <w:tc>
          <w:tcPr>
            <w:tcW w:w="2268" w:type="dxa"/>
          </w:tcPr>
          <w:p>
            <w:pPr>
              <w:spacing w:line="360" w:lineRule="auto"/>
              <w:jc w:val="center"/>
              <w:rPr>
                <w:rFonts w:ascii="微软雅黑" w:hAnsi="微软雅黑" w:eastAsia="微软雅黑"/>
                <w:bCs/>
                <w:sz w:val="24"/>
                <w:szCs w:val="24"/>
              </w:rPr>
            </w:pPr>
            <w:r>
              <w:rPr>
                <w:rFonts w:hint="eastAsia" w:ascii="微软雅黑" w:hAnsi="微软雅黑" w:eastAsia="微软雅黑"/>
                <w:bCs/>
                <w:sz w:val="24"/>
                <w:szCs w:val="24"/>
              </w:rPr>
              <w:t>授课对象所属专业</w:t>
            </w:r>
          </w:p>
        </w:tc>
        <w:tc>
          <w:tcPr>
            <w:tcW w:w="2410" w:type="dxa"/>
          </w:tcPr>
          <w:p>
            <w:pPr>
              <w:spacing w:line="360" w:lineRule="auto"/>
              <w:jc w:val="center"/>
              <w:rPr>
                <w:rFonts w:hint="default" w:ascii="微软雅黑" w:hAnsi="微软雅黑" w:eastAsia="微软雅黑"/>
                <w:bCs/>
                <w:sz w:val="24"/>
                <w:szCs w:val="24"/>
                <w:lang w:val="en-US" w:eastAsia="zh-CN"/>
              </w:rPr>
            </w:pPr>
            <w:r>
              <w:rPr>
                <w:rFonts w:hint="eastAsia" w:ascii="微软雅黑" w:hAnsi="微软雅黑" w:eastAsia="微软雅黑"/>
                <w:bCs/>
                <w:sz w:val="24"/>
                <w:szCs w:val="24"/>
                <w:lang w:val="en-US" w:eastAsia="zh-CN"/>
              </w:rPr>
              <w:t>食品质量与安全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center"/>
              <w:rPr>
                <w:rFonts w:ascii="微软雅黑" w:hAnsi="微软雅黑" w:eastAsia="微软雅黑"/>
                <w:bCs/>
                <w:sz w:val="24"/>
                <w:szCs w:val="24"/>
              </w:rPr>
            </w:pPr>
            <w:r>
              <w:rPr>
                <w:rFonts w:hint="eastAsia" w:ascii="微软雅黑" w:hAnsi="微软雅黑" w:eastAsia="微软雅黑"/>
                <w:bCs/>
                <w:sz w:val="24"/>
                <w:szCs w:val="24"/>
              </w:rPr>
              <w:t>课程类型</w:t>
            </w:r>
          </w:p>
        </w:tc>
        <w:tc>
          <w:tcPr>
            <w:tcW w:w="2476" w:type="dxa"/>
          </w:tcPr>
          <w:p>
            <w:pPr>
              <w:spacing w:line="360" w:lineRule="auto"/>
              <w:jc w:val="center"/>
              <w:rPr>
                <w:rFonts w:hint="default" w:ascii="微软雅黑" w:hAnsi="微软雅黑" w:eastAsia="微软雅黑"/>
                <w:bCs/>
                <w:sz w:val="24"/>
                <w:szCs w:val="24"/>
                <w:lang w:val="en-US" w:eastAsia="zh-CN"/>
              </w:rPr>
            </w:pPr>
            <w:r>
              <w:rPr>
                <w:rFonts w:hint="eastAsia" w:ascii="微软雅黑" w:hAnsi="微软雅黑" w:eastAsia="微软雅黑"/>
                <w:bCs/>
                <w:sz w:val="24"/>
                <w:szCs w:val="24"/>
                <w:lang w:val="en-US" w:eastAsia="zh-CN"/>
              </w:rPr>
              <w:t>专业核心课</w:t>
            </w:r>
          </w:p>
        </w:tc>
        <w:tc>
          <w:tcPr>
            <w:tcW w:w="2268" w:type="dxa"/>
          </w:tcPr>
          <w:p>
            <w:pPr>
              <w:spacing w:line="360" w:lineRule="auto"/>
              <w:jc w:val="center"/>
              <w:rPr>
                <w:rFonts w:ascii="微软雅黑" w:hAnsi="微软雅黑" w:eastAsia="微软雅黑"/>
                <w:bCs/>
                <w:sz w:val="24"/>
                <w:szCs w:val="24"/>
              </w:rPr>
            </w:pPr>
            <w:r>
              <w:rPr>
                <w:rFonts w:hint="eastAsia" w:ascii="微软雅黑" w:hAnsi="微软雅黑" w:eastAsia="微软雅黑"/>
                <w:bCs/>
                <w:sz w:val="24"/>
                <w:szCs w:val="24"/>
              </w:rPr>
              <w:t>开课年级</w:t>
            </w:r>
          </w:p>
        </w:tc>
        <w:tc>
          <w:tcPr>
            <w:tcW w:w="2410" w:type="dxa"/>
          </w:tcPr>
          <w:p>
            <w:pPr>
              <w:spacing w:line="360" w:lineRule="auto"/>
              <w:jc w:val="center"/>
              <w:rPr>
                <w:rFonts w:hint="default" w:ascii="微软雅黑" w:hAnsi="微软雅黑" w:eastAsia="微软雅黑"/>
                <w:bCs/>
                <w:sz w:val="24"/>
                <w:szCs w:val="24"/>
                <w:lang w:val="en-US" w:eastAsia="zh-CN"/>
              </w:rPr>
            </w:pPr>
            <w:r>
              <w:rPr>
                <w:rFonts w:hint="eastAsia" w:ascii="微软雅黑" w:hAnsi="微软雅黑" w:eastAsia="微软雅黑"/>
                <w:bCs/>
                <w:sz w:val="24"/>
                <w:szCs w:val="24"/>
                <w:lang w:val="en-US" w:eastAsia="zh-CN"/>
              </w:rPr>
              <w:t>第六学期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center"/>
              <w:rPr>
                <w:rFonts w:ascii="微软雅黑" w:hAnsi="微软雅黑" w:eastAsia="微软雅黑"/>
                <w:bCs/>
                <w:sz w:val="24"/>
                <w:szCs w:val="24"/>
              </w:rPr>
            </w:pPr>
            <w:r>
              <w:rPr>
                <w:rFonts w:hint="eastAsia" w:ascii="微软雅黑" w:hAnsi="微软雅黑" w:eastAsia="微软雅黑"/>
                <w:bCs/>
                <w:sz w:val="24"/>
                <w:szCs w:val="24"/>
              </w:rPr>
              <w:t>课程性质</w:t>
            </w:r>
          </w:p>
        </w:tc>
        <w:tc>
          <w:tcPr>
            <w:tcW w:w="2476" w:type="dxa"/>
          </w:tcPr>
          <w:p>
            <w:pPr>
              <w:spacing w:line="360" w:lineRule="auto"/>
              <w:jc w:val="center"/>
              <w:rPr>
                <w:rFonts w:hint="default" w:ascii="微软雅黑" w:hAnsi="微软雅黑" w:eastAsia="微软雅黑"/>
                <w:bCs/>
                <w:sz w:val="24"/>
                <w:szCs w:val="24"/>
                <w:lang w:val="en-US" w:eastAsia="zh-CN"/>
              </w:rPr>
            </w:pPr>
            <w:r>
              <w:rPr>
                <w:rFonts w:hint="eastAsia" w:ascii="微软雅黑" w:hAnsi="微软雅黑" w:eastAsia="微软雅黑"/>
                <w:bCs/>
                <w:sz w:val="24"/>
                <w:szCs w:val="24"/>
                <w:lang w:val="en-US" w:eastAsia="zh-CN"/>
              </w:rPr>
              <w:t>线上线下混合式课程</w:t>
            </w:r>
          </w:p>
        </w:tc>
        <w:tc>
          <w:tcPr>
            <w:tcW w:w="2268" w:type="dxa"/>
          </w:tcPr>
          <w:p>
            <w:pPr>
              <w:spacing w:line="360" w:lineRule="auto"/>
              <w:jc w:val="center"/>
              <w:rPr>
                <w:rFonts w:ascii="微软雅黑" w:hAnsi="微软雅黑" w:eastAsia="微软雅黑"/>
                <w:bCs/>
                <w:sz w:val="24"/>
                <w:szCs w:val="24"/>
              </w:rPr>
            </w:pPr>
            <w:r>
              <w:rPr>
                <w:rFonts w:hint="eastAsia" w:ascii="微软雅黑" w:hAnsi="微软雅黑" w:eastAsia="微软雅黑"/>
                <w:bCs/>
                <w:sz w:val="24"/>
                <w:szCs w:val="24"/>
              </w:rPr>
              <w:t>课程总学时</w:t>
            </w:r>
          </w:p>
        </w:tc>
        <w:tc>
          <w:tcPr>
            <w:tcW w:w="2410" w:type="dxa"/>
          </w:tcPr>
          <w:p>
            <w:pPr>
              <w:spacing w:line="360" w:lineRule="auto"/>
              <w:jc w:val="center"/>
              <w:rPr>
                <w:rFonts w:hint="default" w:ascii="微软雅黑" w:hAnsi="微软雅黑" w:eastAsia="微软雅黑"/>
                <w:bCs/>
                <w:sz w:val="24"/>
                <w:szCs w:val="24"/>
                <w:lang w:val="en-US" w:eastAsia="zh-CN"/>
              </w:rPr>
            </w:pPr>
            <w:r>
              <w:rPr>
                <w:rFonts w:hint="eastAsia" w:ascii="微软雅黑" w:hAnsi="微软雅黑" w:eastAsia="微软雅黑"/>
                <w:bCs/>
                <w:sz w:val="24"/>
                <w:szCs w:val="24"/>
                <w:lang w:val="en-US" w:eastAsia="zh-CN"/>
              </w:rPr>
              <w:t>48</w:t>
            </w:r>
          </w:p>
        </w:tc>
      </w:tr>
    </w:tbl>
    <w:p>
      <w:pPr>
        <w:spacing w:line="360" w:lineRule="auto"/>
        <w:jc w:val="center"/>
        <w:rPr>
          <w:rFonts w:hint="eastAsia" w:ascii="微软雅黑" w:hAnsi="微软雅黑" w:eastAsia="微软雅黑"/>
          <w:bCs/>
          <w:sz w:val="24"/>
          <w:szCs w:val="24"/>
        </w:rPr>
      </w:pPr>
    </w:p>
    <w:p>
      <w:pPr>
        <w:numPr>
          <w:ilvl w:val="0"/>
          <w:numId w:val="1"/>
        </w:numPr>
        <w:spacing w:line="360" w:lineRule="auto"/>
        <w:jc w:val="left"/>
        <w:rPr>
          <w:rFonts w:hint="eastAsia" w:ascii="微软雅黑" w:hAnsi="微软雅黑" w:eastAsia="微软雅黑"/>
          <w:bCs/>
          <w:sz w:val="24"/>
          <w:szCs w:val="24"/>
        </w:rPr>
      </w:pPr>
      <w:r>
        <w:rPr>
          <w:rFonts w:hint="eastAsia" w:ascii="微软雅黑" w:hAnsi="微软雅黑" w:eastAsia="微软雅黑"/>
          <w:bCs/>
          <w:sz w:val="24"/>
          <w:szCs w:val="24"/>
        </w:rPr>
        <w:t>课程简介（300字左右）</w:t>
      </w:r>
    </w:p>
    <w:p>
      <w:pPr>
        <w:numPr>
          <w:numId w:val="0"/>
        </w:numPr>
        <w:spacing w:line="360" w:lineRule="auto"/>
        <w:ind w:firstLine="480" w:firstLineChars="200"/>
        <w:jc w:val="both"/>
        <w:rPr>
          <w:rFonts w:hint="eastAsia" w:ascii="微软雅黑" w:hAnsi="微软雅黑" w:eastAsia="微软雅黑"/>
          <w:bCs/>
          <w:sz w:val="24"/>
          <w:szCs w:val="24"/>
        </w:rPr>
      </w:pPr>
      <w:r>
        <w:rPr>
          <w:rFonts w:hint="eastAsia" w:ascii="微软雅黑" w:hAnsi="微软雅黑" w:eastAsia="微软雅黑"/>
          <w:bCs/>
          <w:sz w:val="24"/>
          <w:szCs w:val="24"/>
        </w:rPr>
        <w:t>食品营养学是研究食物</w:t>
      </w:r>
      <w:r>
        <w:rPr>
          <w:rFonts w:hint="eastAsia" w:ascii="微软雅黑" w:hAnsi="微软雅黑" w:eastAsia="微软雅黑"/>
          <w:bCs/>
          <w:sz w:val="24"/>
          <w:szCs w:val="24"/>
          <w:lang w:val="en-US" w:eastAsia="zh-CN"/>
        </w:rPr>
        <w:t>中</w:t>
      </w:r>
      <w:r>
        <w:rPr>
          <w:rFonts w:hint="eastAsia" w:ascii="微软雅黑" w:hAnsi="微软雅黑" w:eastAsia="微软雅黑"/>
          <w:bCs/>
          <w:sz w:val="24"/>
          <w:szCs w:val="24"/>
        </w:rPr>
        <w:t>营养素及其他生物活性物质对人体健康的生理作用和有益影响的科学。通过学习食品中的能量平衡和基本六大营养素的基本化学组成、分类、理化特性、营养学作用，并进一步学习这些营养元素在人体内的消化、吸收、转运和代谢机制</w:t>
      </w:r>
      <w:r>
        <w:rPr>
          <w:rFonts w:hint="eastAsia" w:ascii="微软雅黑" w:hAnsi="微软雅黑" w:eastAsia="微软雅黑"/>
          <w:bCs/>
          <w:sz w:val="24"/>
          <w:szCs w:val="24"/>
          <w:lang w:eastAsia="zh-CN"/>
        </w:rPr>
        <w:t>，</w:t>
      </w:r>
      <w:r>
        <w:rPr>
          <w:rFonts w:hint="eastAsia" w:ascii="微软雅黑" w:hAnsi="微软雅黑" w:eastAsia="微软雅黑"/>
          <w:bCs/>
          <w:sz w:val="24"/>
          <w:szCs w:val="24"/>
        </w:rPr>
        <w:t>能量失衡、营养元素缺乏或过剩，对人体健康带来的潜在不利影响。理解并掌握与食物营养相关的疾病，以及不同</w:t>
      </w:r>
      <w:r>
        <w:rPr>
          <w:rFonts w:hint="eastAsia" w:ascii="微软雅黑" w:hAnsi="微软雅黑" w:eastAsia="微软雅黑"/>
          <w:bCs/>
          <w:sz w:val="24"/>
          <w:szCs w:val="24"/>
          <w:lang w:val="en-US" w:eastAsia="zh-CN"/>
        </w:rPr>
        <w:t>特殊</w:t>
      </w:r>
      <w:r>
        <w:rPr>
          <w:rFonts w:hint="eastAsia" w:ascii="微软雅黑" w:hAnsi="微软雅黑" w:eastAsia="微软雅黑"/>
          <w:bCs/>
          <w:sz w:val="24"/>
          <w:szCs w:val="24"/>
        </w:rPr>
        <w:t>人群对食物营养的需求。在这门课程里，学生还将学习膳食指导原则，如控制能量平衡、设计科学膳食模式、中国居民膳食指南与宝塔模型等知识和概念</w:t>
      </w:r>
      <w:r>
        <w:rPr>
          <w:rFonts w:hint="eastAsia" w:ascii="微软雅黑" w:hAnsi="微软雅黑" w:eastAsia="微软雅黑"/>
          <w:bCs/>
          <w:sz w:val="24"/>
          <w:szCs w:val="24"/>
          <w:lang w:eastAsia="zh-CN"/>
        </w:rPr>
        <w:t>，</w:t>
      </w:r>
      <w:r>
        <w:rPr>
          <w:rFonts w:hint="eastAsia" w:ascii="微软雅黑" w:hAnsi="微软雅黑" w:eastAsia="微软雅黑"/>
          <w:bCs/>
          <w:sz w:val="24"/>
          <w:szCs w:val="24"/>
        </w:rPr>
        <w:t>了解科学饮食的基本概念和原理，增进设计膳食与控制膳食的实践技巧。培养学生在今后的食品生产及相关工作中，能够熟练地应用营养学知识解决实际问题，为改善我国居民的营养状况和提高居民的健康水平服务。</w:t>
      </w:r>
    </w:p>
    <w:p>
      <w:pPr>
        <w:pStyle w:val="4"/>
        <w:spacing w:before="0" w:beforeAutospacing="0" w:after="0" w:afterAutospacing="0" w:line="500" w:lineRule="exact"/>
        <w:jc w:val="both"/>
        <w:rPr>
          <w:rStyle w:val="8"/>
          <w:rFonts w:ascii="微软雅黑" w:hAnsi="微软雅黑" w:eastAsia="微软雅黑"/>
          <w:b w:val="0"/>
        </w:rPr>
      </w:pPr>
      <w:r>
        <w:rPr>
          <w:rFonts w:hint="eastAsia" w:ascii="微软雅黑" w:hAnsi="微软雅黑" w:eastAsia="微软雅黑"/>
        </w:rPr>
        <w:t>二、</w:t>
      </w:r>
      <w:r>
        <w:rPr>
          <w:rStyle w:val="8"/>
          <w:rFonts w:hint="eastAsia" w:ascii="微软雅黑" w:hAnsi="微软雅黑" w:eastAsia="微软雅黑"/>
          <w:b w:val="0"/>
        </w:rPr>
        <w:t>案例基本信息</w:t>
      </w:r>
    </w:p>
    <w:p>
      <w:pPr>
        <w:pStyle w:val="4"/>
        <w:spacing w:before="0" w:beforeAutospacing="0" w:after="0" w:afterAutospacing="0" w:line="500" w:lineRule="exact"/>
        <w:ind w:firstLine="480" w:firstLineChars="200"/>
        <w:rPr>
          <w:rFonts w:hint="default" w:ascii="微软雅黑" w:hAnsi="微软雅黑" w:eastAsia="微软雅黑"/>
          <w:lang w:val="en-US" w:eastAsia="zh-CN"/>
        </w:rPr>
      </w:pPr>
      <w:r>
        <w:rPr>
          <w:rStyle w:val="8"/>
          <w:rFonts w:ascii="微软雅黑" w:hAnsi="微软雅黑" w:eastAsia="微软雅黑" w:cs="Times New Roman"/>
          <w:b w:val="0"/>
        </w:rPr>
        <w:t>1.案例</w:t>
      </w:r>
      <w:r>
        <w:rPr>
          <w:rStyle w:val="8"/>
          <w:rFonts w:hint="eastAsia" w:ascii="微软雅黑" w:hAnsi="微软雅黑" w:eastAsia="微软雅黑" w:cs="Times New Roman"/>
          <w:b w:val="0"/>
        </w:rPr>
        <w:t>名称</w:t>
      </w:r>
      <w:r>
        <w:rPr>
          <w:rStyle w:val="8"/>
          <w:rFonts w:hint="eastAsia" w:ascii="微软雅黑" w:hAnsi="微软雅黑" w:eastAsia="微软雅黑"/>
          <w:b w:val="0"/>
        </w:rPr>
        <w:t>：</w:t>
      </w:r>
      <w:r>
        <w:rPr>
          <w:rStyle w:val="8"/>
          <w:rFonts w:hint="eastAsia" w:ascii="微软雅黑" w:hAnsi="微软雅黑" w:eastAsia="微软雅黑"/>
          <w:b/>
          <w:bCs w:val="0"/>
          <w:sz w:val="28"/>
          <w:szCs w:val="28"/>
          <w:lang w:val="en-US" w:eastAsia="zh-CN"/>
        </w:rPr>
        <w:t>关爱母婴，守护明天——特殊人群的营养</w:t>
      </w:r>
    </w:p>
    <w:p>
      <w:pPr>
        <w:pStyle w:val="4"/>
        <w:spacing w:before="0" w:beforeAutospacing="0" w:after="0" w:afterAutospacing="0" w:line="500" w:lineRule="exact"/>
        <w:ind w:firstLine="360" w:firstLineChars="150"/>
        <w:rPr>
          <w:rFonts w:ascii="微软雅黑" w:hAnsi="微软雅黑" w:eastAsia="微软雅黑"/>
        </w:rPr>
      </w:pPr>
      <w:r>
        <w:rPr>
          <w:rStyle w:val="8"/>
          <w:rFonts w:ascii="微软雅黑" w:hAnsi="微软雅黑" w:eastAsia="微软雅黑" w:cs="Times New Roman"/>
          <w:b w:val="0"/>
        </w:rPr>
        <w:t xml:space="preserve"> 2.对应章节</w:t>
      </w:r>
      <w:r>
        <w:rPr>
          <w:rFonts w:hint="eastAsia" w:ascii="微软雅黑" w:hAnsi="微软雅黑" w:eastAsia="微软雅黑"/>
        </w:rPr>
        <w:t>：第四章 公共营养</w:t>
      </w:r>
      <w:r>
        <w:rPr>
          <w:rFonts w:hint="eastAsia" w:ascii="微软雅黑" w:hAnsi="微软雅黑" w:eastAsia="微软雅黑"/>
          <w:lang w:val="en-US" w:eastAsia="zh-CN"/>
        </w:rPr>
        <w:t xml:space="preserve"> </w:t>
      </w:r>
      <w:r>
        <w:rPr>
          <w:rFonts w:hint="eastAsia" w:ascii="微软雅黑" w:hAnsi="微软雅黑" w:eastAsia="微软雅黑"/>
        </w:rPr>
        <w:t>第十节 孕妇与乳母的营养与膳食</w:t>
      </w:r>
    </w:p>
    <w:p>
      <w:pPr>
        <w:pStyle w:val="4"/>
        <w:spacing w:before="0" w:beforeAutospacing="0" w:after="0" w:afterAutospacing="0" w:line="500" w:lineRule="exact"/>
        <w:ind w:firstLine="480" w:firstLineChars="200"/>
        <w:rPr>
          <w:rFonts w:hint="default" w:ascii="微软雅黑" w:hAnsi="微软雅黑" w:eastAsia="微软雅黑"/>
          <w:lang w:val="en-US" w:eastAsia="zh-CN"/>
        </w:rPr>
      </w:pPr>
      <w:r>
        <w:rPr>
          <w:rStyle w:val="8"/>
          <w:rFonts w:hint="eastAsia" w:ascii="微软雅黑" w:hAnsi="微软雅黑" w:eastAsia="微软雅黑" w:cs="Times New Roman"/>
          <w:b w:val="0"/>
        </w:rPr>
        <w:t>3.课程讲次</w:t>
      </w:r>
      <w:r>
        <w:rPr>
          <w:rFonts w:hint="eastAsia" w:ascii="微软雅黑" w:hAnsi="微软雅黑" w:eastAsia="微软雅黑"/>
        </w:rPr>
        <w:t>：</w:t>
      </w:r>
      <w:r>
        <w:rPr>
          <w:rFonts w:hint="eastAsia" w:ascii="微软雅黑" w:hAnsi="微软雅黑" w:eastAsia="微软雅黑"/>
          <w:lang w:val="en-US" w:eastAsia="zh-CN"/>
        </w:rPr>
        <w:t>1-2</w:t>
      </w:r>
    </w:p>
    <w:p>
      <w:pPr>
        <w:pStyle w:val="4"/>
        <w:spacing w:before="0" w:beforeAutospacing="0" w:after="0" w:afterAutospacing="0" w:line="500" w:lineRule="exact"/>
        <w:rPr>
          <w:rFonts w:hint="eastAsia" w:ascii="微软雅黑" w:hAnsi="微软雅黑" w:eastAsia="微软雅黑"/>
        </w:rPr>
      </w:pPr>
      <w:r>
        <w:rPr>
          <w:rFonts w:hint="eastAsia" w:ascii="微软雅黑" w:hAnsi="微软雅黑" w:eastAsia="微软雅黑"/>
        </w:rPr>
        <w:t>三、案例教学目标</w:t>
      </w:r>
    </w:p>
    <w:p>
      <w:pPr>
        <w:pStyle w:val="4"/>
        <w:spacing w:before="0" w:beforeAutospacing="0" w:after="0" w:afterAutospacing="0" w:line="500" w:lineRule="exact"/>
        <w:ind w:firstLine="480" w:firstLineChars="200"/>
        <w:rPr>
          <w:rFonts w:hint="default" w:ascii="微软雅黑" w:hAnsi="微软雅黑" w:eastAsia="微软雅黑"/>
          <w:lang w:val="en-US" w:eastAsia="zh-CN"/>
        </w:rPr>
      </w:pPr>
      <w:r>
        <w:rPr>
          <w:rFonts w:hint="eastAsia" w:ascii="微软雅黑" w:hAnsi="微软雅黑" w:eastAsia="微软雅黑"/>
        </w:rPr>
        <w:t>尊重生命、关爱他人</w:t>
      </w:r>
      <w:r>
        <w:rPr>
          <w:rFonts w:hint="eastAsia" w:ascii="微软雅黑" w:hAnsi="微软雅黑" w:eastAsia="微软雅黑"/>
          <w:lang w:eastAsia="zh-CN"/>
        </w:rPr>
        <w:t>，</w:t>
      </w:r>
      <w:r>
        <w:rPr>
          <w:rFonts w:hint="eastAsia" w:ascii="微软雅黑" w:hAnsi="微软雅黑" w:eastAsia="微软雅黑"/>
          <w:lang w:val="en-US" w:eastAsia="zh-CN"/>
        </w:rPr>
        <w:t>了解国家对母婴健康的重视，指导学生通过自己的专业知识去指导特殊人群的膳食，为提升国民健康奉献自己的力量。</w:t>
      </w:r>
    </w:p>
    <w:p>
      <w:pPr>
        <w:jc w:val="left"/>
        <w:rPr>
          <w:rFonts w:hint="eastAsia" w:ascii="微软雅黑" w:hAnsi="微软雅黑" w:eastAsia="微软雅黑" w:cs="微软雅黑"/>
          <w:b/>
          <w:bCs/>
          <w:sz w:val="24"/>
          <w:szCs w:val="24"/>
        </w:rPr>
      </w:pPr>
      <w:r>
        <w:rPr>
          <w:rFonts w:hint="eastAsia" w:ascii="微软雅黑" w:hAnsi="微软雅黑" w:eastAsia="微软雅黑"/>
          <w:b/>
          <w:bCs/>
          <w:sz w:val="24"/>
          <w:szCs w:val="28"/>
        </w:rPr>
        <w:t>四、</w:t>
      </w:r>
      <w:r>
        <w:rPr>
          <w:rFonts w:hint="eastAsia" w:ascii="微软雅黑" w:hAnsi="微软雅黑" w:eastAsia="微软雅黑" w:cs="微软雅黑"/>
          <w:b/>
          <w:bCs/>
          <w:sz w:val="24"/>
          <w:szCs w:val="24"/>
          <w:lang w:val="en-US" w:eastAsia="zh-CN"/>
        </w:rPr>
        <w:t>案例主要内容</w:t>
      </w:r>
    </w:p>
    <w:tbl>
      <w:tblPr>
        <w:tblStyle w:val="5"/>
        <w:tblpPr w:leftFromText="180" w:rightFromText="180" w:vertAnchor="text" w:horzAnchor="page" w:tblpX="934" w:tblpY="488"/>
        <w:tblOverlap w:val="never"/>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9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F2DBDB"/>
            <w:vAlign w:val="center"/>
          </w:tcPr>
          <w:p>
            <w:pPr>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教学流程</w:t>
            </w:r>
          </w:p>
        </w:tc>
        <w:tc>
          <w:tcPr>
            <w:tcW w:w="9780" w:type="dxa"/>
            <w:shd w:val="clear" w:color="auto" w:fill="auto"/>
          </w:tcPr>
          <w:p>
            <w:pPr>
              <w:jc w:val="center"/>
              <w:rPr>
                <w:rFonts w:hint="eastAsia" w:ascii="微软雅黑" w:hAnsi="微软雅黑" w:eastAsia="微软雅黑" w:cs="微软雅黑"/>
                <w:b/>
                <w:color w:val="C00000"/>
                <w:sz w:val="24"/>
                <w:szCs w:val="24"/>
                <w:lang w:eastAsia="zh-CN"/>
              </w:rPr>
            </w:pPr>
            <w:r>
              <w:rPr>
                <w:rFonts w:hint="eastAsia" w:ascii="微软雅黑" w:hAnsi="微软雅黑" w:eastAsia="微软雅黑" w:cs="微软雅黑"/>
                <w:b/>
                <w:color w:val="C00000"/>
                <w:sz w:val="24"/>
                <w:szCs w:val="24"/>
                <w:lang w:eastAsia="zh-CN"/>
              </w:rPr>
              <w:drawing>
                <wp:inline distT="0" distB="0" distL="114300" distR="114300">
                  <wp:extent cx="6073140" cy="3606800"/>
                  <wp:effectExtent l="0" t="0" r="0" b="508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a:off x="0" y="0"/>
                            <a:ext cx="6073140" cy="3606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F2DBDB"/>
            <w:vAlign w:val="center"/>
          </w:tcPr>
          <w:p>
            <w:pPr>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参考材料</w:t>
            </w:r>
          </w:p>
        </w:tc>
        <w:tc>
          <w:tcPr>
            <w:tcW w:w="9780" w:type="dxa"/>
            <w:shd w:val="clear" w:color="auto" w:fill="auto"/>
          </w:tcPr>
          <w:p>
            <w:pPr>
              <w:rPr>
                <w:rFonts w:hint="eastAsia" w:ascii="微软雅黑" w:hAnsi="微软雅黑" w:eastAsia="微软雅黑" w:cs="微软雅黑"/>
                <w:b/>
                <w:sz w:val="24"/>
                <w:szCs w:val="24"/>
              </w:rPr>
            </w:pPr>
            <w:r>
              <w:rPr>
                <w:rFonts w:hint="eastAsia" w:ascii="微软雅黑" w:hAnsi="微软雅黑" w:eastAsia="微软雅黑" w:cs="微软雅黑"/>
                <w:b/>
                <w:color w:val="C00000"/>
                <w:sz w:val="24"/>
                <w:szCs w:val="24"/>
              </w:rPr>
              <w:t>选用教材</w:t>
            </w:r>
          </w:p>
          <w:p>
            <w:pPr>
              <w:rPr>
                <w:rFonts w:hint="eastAsia" w:ascii="微软雅黑" w:hAnsi="微软雅黑" w:eastAsia="微软雅黑" w:cs="微软雅黑"/>
                <w:b w:val="0"/>
                <w:bCs/>
                <w:color w:val="auto"/>
                <w:sz w:val="24"/>
                <w:szCs w:val="24"/>
              </w:rPr>
            </w:pPr>
            <w:r>
              <w:rPr>
                <w:rFonts w:hint="eastAsia" w:ascii="微软雅黑" w:hAnsi="微软雅黑" w:eastAsia="微软雅黑" w:cs="微软雅黑"/>
                <w:b w:val="0"/>
                <w:bCs/>
                <w:color w:val="auto"/>
                <w:sz w:val="24"/>
                <w:szCs w:val="24"/>
              </w:rPr>
              <w:t>《食品营养学》. 邓泽元 主编. 中国农业出版社，2016年8月第4版.</w:t>
            </w:r>
          </w:p>
          <w:p>
            <w:pPr>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参考材料</w:t>
            </w:r>
          </w:p>
          <w:p>
            <w:pPr>
              <w:pStyle w:val="11"/>
              <w:numPr>
                <w:ilvl w:val="0"/>
                <w:numId w:val="2"/>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中国营养学会.</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中国居民膳食营养素参考摄入量.</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北京：中国轻工业出版社，</w:t>
            </w:r>
          </w:p>
          <w:p>
            <w:pPr>
              <w:pStyle w:val="11"/>
              <w:numPr>
                <w:ilvl w:val="0"/>
                <w:numId w:val="2"/>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2000 年第 1 版。</w:t>
            </w:r>
          </w:p>
          <w:p>
            <w:pPr>
              <w:pStyle w:val="11"/>
              <w:numPr>
                <w:ilvl w:val="0"/>
                <w:numId w:val="2"/>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中国疾病预防控制中心营养与食品安全所主编.</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中国食物成分数据.北京：人民卫生出版社，2002年第1版。</w:t>
            </w:r>
          </w:p>
          <w:p>
            <w:pPr>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参考网址</w:t>
            </w:r>
          </w:p>
          <w:p>
            <w:pPr>
              <w:pStyle w:val="11"/>
              <w:numPr>
                <w:ilvl w:val="0"/>
                <w:numId w:val="3"/>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http://www.pndc.gov.cn/</w:t>
            </w:r>
          </w:p>
          <w:p>
            <w:pPr>
              <w:pStyle w:val="11"/>
              <w:numPr>
                <w:ilvl w:val="0"/>
                <w:numId w:val="3"/>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http://www.cnsoc.org</w:t>
            </w:r>
          </w:p>
          <w:p>
            <w:pPr>
              <w:pStyle w:val="11"/>
              <w:numPr>
                <w:ilvl w:val="0"/>
                <w:numId w:val="3"/>
              </w:numPr>
              <w:ind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http://yingyang.fh21.com.cn/</w:t>
            </w:r>
          </w:p>
        </w:tc>
      </w:tr>
    </w:tbl>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textAlignment w:val="auto"/>
        <w:rPr>
          <w:rFonts w:hint="eastAsia" w:ascii="微软雅黑" w:hAnsi="微软雅黑" w:eastAsia="微软雅黑" w:cs="宋体"/>
          <w:b/>
          <w:bCs/>
        </w:rPr>
      </w:pPr>
      <w:r>
        <w:rPr>
          <w:rFonts w:hint="eastAsia" w:ascii="微软雅黑" w:hAnsi="微软雅黑" w:eastAsia="微软雅黑" w:cs="宋体"/>
          <w:b/>
          <w:bCs/>
        </w:rPr>
        <w:t>五、案例教学设计</w:t>
      </w:r>
    </w:p>
    <w:tbl>
      <w:tblPr>
        <w:tblStyle w:val="5"/>
        <w:tblpPr w:leftFromText="180" w:rightFromText="180" w:vertAnchor="text" w:horzAnchor="page" w:tblpX="956" w:tblpY="489"/>
        <w:tblOverlap w:val="never"/>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6"/>
        <w:gridCol w:w="5243"/>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3796" w:type="dxa"/>
            <w:tcBorders>
              <w:bottom w:val="single" w:color="auto" w:sz="4" w:space="0"/>
            </w:tcBorders>
            <w:shd w:val="clear" w:color="auto" w:fill="DBE5F1"/>
            <w:vAlign w:val="center"/>
          </w:tcPr>
          <w:p>
            <w:pPr>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教学环节与主要内容</w:t>
            </w:r>
          </w:p>
        </w:tc>
        <w:tc>
          <w:tcPr>
            <w:tcW w:w="5243" w:type="dxa"/>
            <w:tcBorders>
              <w:bottom w:val="single" w:color="auto" w:sz="4" w:space="0"/>
            </w:tcBorders>
            <w:shd w:val="clear" w:color="auto" w:fill="DBE5F1"/>
            <w:vAlign w:val="center"/>
          </w:tcPr>
          <w:p>
            <w:pPr>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教学方法及手段</w:t>
            </w:r>
          </w:p>
        </w:tc>
        <w:tc>
          <w:tcPr>
            <w:tcW w:w="1417" w:type="dxa"/>
            <w:tcBorders>
              <w:bottom w:val="single" w:color="auto" w:sz="4" w:space="0"/>
            </w:tcBorders>
            <w:shd w:val="clear" w:color="auto" w:fill="DBE5F1"/>
            <w:vAlign w:val="center"/>
          </w:tcPr>
          <w:p>
            <w:pPr>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学生活动及</w:t>
            </w:r>
          </w:p>
          <w:p>
            <w:pPr>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6" w:type="dxa"/>
            <w:shd w:val="clear" w:color="auto" w:fill="auto"/>
          </w:tcPr>
          <w:p>
            <w:pPr>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【新课导入】（</w:t>
            </w:r>
            <w:r>
              <w:rPr>
                <w:rFonts w:hint="eastAsia" w:ascii="微软雅黑" w:hAnsi="微软雅黑" w:eastAsia="微软雅黑" w:cs="微软雅黑"/>
                <w:b/>
                <w:color w:val="C00000"/>
                <w:sz w:val="24"/>
                <w:szCs w:val="24"/>
                <w:lang w:val="en-US" w:eastAsia="zh-CN"/>
              </w:rPr>
              <w:t>10</w:t>
            </w:r>
            <w:r>
              <w:rPr>
                <w:rFonts w:hint="eastAsia" w:ascii="微软雅黑" w:hAnsi="微软雅黑" w:eastAsia="微软雅黑" w:cs="微软雅黑"/>
                <w:b/>
                <w:color w:val="C00000"/>
                <w:sz w:val="24"/>
                <w:szCs w:val="24"/>
              </w:rPr>
              <w:t>分钟）</w:t>
            </w:r>
          </w:p>
          <w:p>
            <w:pPr>
              <w:rPr>
                <w:rFonts w:hint="eastAsia" w:ascii="微软雅黑" w:hAnsi="微软雅黑" w:eastAsia="微软雅黑" w:cs="微软雅黑"/>
                <w:color w:val="C00000"/>
                <w:sz w:val="24"/>
                <w:szCs w:val="24"/>
              </w:rPr>
            </w:pPr>
            <w:r>
              <w:rPr>
                <w:rFonts w:hint="eastAsia" w:ascii="微软雅黑" w:hAnsi="微软雅黑" w:eastAsia="微软雅黑" w:cs="微软雅黑"/>
                <w:color w:val="C00000"/>
                <w:sz w:val="24"/>
                <w:szCs w:val="24"/>
              </w:rPr>
              <w:t>中共中央国务院印发《“健康中国2030”》规划纲要</w:t>
            </w:r>
          </w:p>
          <w:p>
            <w:pPr>
              <w:jc w:val="center"/>
              <w:rPr>
                <w:rFonts w:hint="eastAsia" w:ascii="微软雅黑" w:hAnsi="微软雅黑" w:eastAsia="微软雅黑" w:cs="微软雅黑"/>
                <w:color w:val="C00000"/>
                <w:sz w:val="24"/>
                <w:szCs w:val="24"/>
              </w:rPr>
            </w:pPr>
            <w:r>
              <w:rPr>
                <w:rFonts w:hint="eastAsia" w:ascii="微软雅黑" w:hAnsi="微软雅黑" w:eastAsia="微软雅黑" w:cs="微软雅黑"/>
                <w:sz w:val="24"/>
                <w:szCs w:val="24"/>
              </w:rPr>
              <w:drawing>
                <wp:inline distT="0" distB="0" distL="0" distR="0">
                  <wp:extent cx="2259965" cy="1083310"/>
                  <wp:effectExtent l="0" t="0" r="10795" b="139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260282" cy="1083451"/>
                          </a:xfrm>
                          <a:prstGeom prst="rect">
                            <a:avLst/>
                          </a:prstGeom>
                          <a:noFill/>
                        </pic:spPr>
                      </pic:pic>
                    </a:graphicData>
                  </a:graphic>
                </wp:inline>
              </w:drawing>
            </w:r>
          </w:p>
          <w:p>
            <w:pPr>
              <w:rPr>
                <w:rFonts w:hint="eastAsia" w:ascii="微软雅黑" w:hAnsi="微软雅黑" w:eastAsia="微软雅黑" w:cs="微软雅黑"/>
                <w:color w:val="C00000"/>
                <w:sz w:val="24"/>
                <w:szCs w:val="24"/>
              </w:rPr>
            </w:pPr>
            <w:r>
              <w:rPr>
                <w:rFonts w:hint="eastAsia" w:ascii="微软雅黑" w:hAnsi="微软雅黑" w:eastAsia="微软雅黑" w:cs="微软雅黑"/>
                <w:color w:val="C00000"/>
                <w:sz w:val="24"/>
                <w:szCs w:val="24"/>
              </w:rPr>
              <w:t>国务院办公厅印发《国民营养计划（2017-2030年）》</w:t>
            </w:r>
          </w:p>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2216150" cy="971550"/>
                  <wp:effectExtent l="0" t="0" r="889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228049" cy="976669"/>
                          </a:xfrm>
                          <a:prstGeom prst="rect">
                            <a:avLst/>
                          </a:prstGeom>
                          <a:noFill/>
                        </pic:spPr>
                      </pic:pic>
                    </a:graphicData>
                  </a:graphic>
                </wp:inline>
              </w:drawing>
            </w:r>
          </w:p>
        </w:tc>
        <w:tc>
          <w:tcPr>
            <w:tcW w:w="5243" w:type="dxa"/>
            <w:shd w:val="clear" w:color="auto" w:fill="auto"/>
          </w:tcPr>
          <w:p>
            <w:pPr>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演示法、讲授法、问答法</w:t>
            </w:r>
          </w:p>
          <w:p>
            <w:pPr>
              <w:pStyle w:val="11"/>
              <w:ind w:firstLine="0" w:firstLineChars="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结合2016年习近平总书记在全国高校思想政治工作会议上强调内容以及2020年《高等学校课程思政建设指导纲要》指出内容为基本思想开展思政教学。</w:t>
            </w:r>
          </w:p>
          <w:p>
            <w:pPr>
              <w:pStyle w:val="11"/>
              <w:ind w:firstLine="0" w:firstLineChars="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1.学习通课前发布《“健康中国2030”》规划纲要和《国民营养计划（2017-2030年）》，让学生了解国家层面的相关政策。</w:t>
            </w:r>
          </w:p>
          <w:p>
            <w:pPr>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sz w:val="24"/>
                <w:szCs w:val="24"/>
              </w:rPr>
              <w:t>2.学生课前查找</w:t>
            </w:r>
            <w:r>
              <w:rPr>
                <w:rFonts w:hint="eastAsia" w:ascii="微软雅黑" w:hAnsi="微软雅黑" w:eastAsia="微软雅黑" w:cs="微软雅黑"/>
                <w:color w:val="000000" w:themeColor="text1"/>
                <w:sz w:val="24"/>
                <w:szCs w:val="24"/>
              </w:rPr>
              <w:t>《中国孕妇、母乳膳食指南（2022）》，预习相关内容。</w:t>
            </w:r>
          </w:p>
          <w:p>
            <w:pPr>
              <w:pStyle w:val="11"/>
              <w:ind w:firstLine="0" w:firstLineChars="0"/>
              <w:jc w:val="center"/>
              <w:rPr>
                <w:rFonts w:hint="eastAsia" w:ascii="微软雅黑" w:hAnsi="微软雅黑" w:eastAsia="微软雅黑" w:cs="微软雅黑"/>
                <w:color w:val="000000"/>
                <w:sz w:val="24"/>
                <w:szCs w:val="24"/>
              </w:rPr>
            </w:pPr>
            <w:r>
              <w:rPr>
                <w:rFonts w:hint="eastAsia" w:ascii="微软雅黑" w:hAnsi="微软雅黑" w:eastAsia="微软雅黑" w:cs="微软雅黑"/>
                <w:sz w:val="24"/>
                <w:szCs w:val="24"/>
              </w:rPr>
              <w:drawing>
                <wp:inline distT="0" distB="0" distL="0" distR="0">
                  <wp:extent cx="1250315" cy="1250315"/>
                  <wp:effectExtent l="0" t="0" r="14605" b="14605"/>
                  <wp:docPr id="22" name="图片 22" descr="https://img2.baidu.com/it/u=3804302075,311036830&amp;fm=253&amp;fmt=auto&amp;app=138&amp;f=JPEG?w=500&amp;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s://img2.baidu.com/it/u=3804302075,311036830&amp;fm=253&amp;fmt=auto&amp;app=138&amp;f=JPEG?w=500&amp;h=5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50979" cy="1250979"/>
                          </a:xfrm>
                          <a:prstGeom prst="rect">
                            <a:avLst/>
                          </a:prstGeom>
                          <a:noFill/>
                          <a:ln>
                            <a:noFill/>
                          </a:ln>
                        </pic:spPr>
                      </pic:pic>
                    </a:graphicData>
                  </a:graphic>
                </wp:inline>
              </w:drawing>
            </w:r>
          </w:p>
        </w:tc>
        <w:tc>
          <w:tcPr>
            <w:tcW w:w="1417" w:type="dxa"/>
            <w:shd w:val="clear" w:color="auto" w:fill="auto"/>
          </w:tcPr>
          <w:p>
            <w:pPr>
              <w:rPr>
                <w:rFonts w:hint="eastAsia" w:ascii="微软雅黑" w:hAnsi="微软雅黑" w:eastAsia="微软雅黑" w:cs="微软雅黑"/>
                <w:b/>
                <w:sz w:val="24"/>
                <w:szCs w:val="24"/>
              </w:rPr>
            </w:pPr>
            <w:r>
              <w:rPr>
                <w:rFonts w:hint="eastAsia" w:ascii="微软雅黑" w:hAnsi="微软雅黑" w:eastAsia="微软雅黑" w:cs="微软雅黑"/>
                <w:color w:val="000000"/>
                <w:sz w:val="24"/>
                <w:szCs w:val="24"/>
              </w:rPr>
              <w:t>学生对国家政策和《中国孕妇、母乳膳食指南（2022）》初步了解。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6" w:type="dxa"/>
            <w:shd w:val="clear" w:color="auto" w:fill="auto"/>
          </w:tcPr>
          <w:p>
            <w:pPr>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一、膳食宝塔（</w:t>
            </w:r>
            <w:r>
              <w:rPr>
                <w:rFonts w:hint="eastAsia" w:ascii="微软雅黑" w:hAnsi="微软雅黑" w:eastAsia="微软雅黑" w:cs="微软雅黑"/>
                <w:b/>
                <w:color w:val="C00000"/>
                <w:sz w:val="24"/>
                <w:szCs w:val="24"/>
                <w:lang w:val="en-US" w:eastAsia="zh-CN"/>
              </w:rPr>
              <w:t>30</w:t>
            </w:r>
            <w:r>
              <w:rPr>
                <w:rFonts w:hint="eastAsia" w:ascii="微软雅黑" w:hAnsi="微软雅黑" w:eastAsia="微软雅黑" w:cs="微软雅黑"/>
                <w:b/>
                <w:color w:val="C00000"/>
                <w:sz w:val="24"/>
                <w:szCs w:val="24"/>
              </w:rPr>
              <w:t>分钟）</w:t>
            </w:r>
          </w:p>
          <w:p>
            <w:pPr>
              <w:pStyle w:val="11"/>
              <w:ind w:firstLine="0" w:firstLineChars="0"/>
              <w:jc w:val="left"/>
              <w:rPr>
                <w:rFonts w:hint="eastAsia" w:ascii="微软雅黑" w:hAnsi="微软雅黑" w:eastAsia="微软雅黑" w:cs="微软雅黑"/>
                <w:b/>
                <w:color w:val="C00000"/>
                <w:sz w:val="24"/>
                <w:szCs w:val="24"/>
              </w:rPr>
            </w:pPr>
            <w:r>
              <w:rPr>
                <w:rFonts w:hint="eastAsia" w:ascii="微软雅黑" w:hAnsi="微软雅黑" w:eastAsia="微软雅黑" w:cs="微软雅黑"/>
                <w:color w:val="C00000"/>
                <w:sz w:val="24"/>
                <w:szCs w:val="24"/>
              </w:rPr>
              <w:t>1.中国备孕妇女平衡膳食宝塔（2022）</w:t>
            </w:r>
            <w:r>
              <w:rPr>
                <w:rFonts w:hint="eastAsia" w:ascii="微软雅黑" w:hAnsi="微软雅黑" w:eastAsia="微软雅黑" w:cs="微软雅黑"/>
                <w:sz w:val="24"/>
                <w:szCs w:val="24"/>
              </w:rPr>
              <w:drawing>
                <wp:inline distT="0" distB="0" distL="0" distR="0">
                  <wp:extent cx="2273300" cy="1828800"/>
                  <wp:effectExtent l="0" t="0" r="12700" b="0"/>
                  <wp:docPr id="25" name="图片 25" descr="http://dg.cnsoc.org/upload/affix/20220819170638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dg.cnsoc.org/upload/affix/20220819170638177.jpg"/>
                          <pic:cNvPicPr>
                            <a:picLocks noChangeAspect="1" noChangeArrowheads="1"/>
                          </pic:cNvPicPr>
                        </pic:nvPicPr>
                        <pic:blipFill>
                          <a:blip r:embed="rId8" cstate="print">
                            <a:extLst>
                              <a:ext uri="{28A0092B-C50C-407E-A947-70E740481C1C}">
                                <a14:useLocalDpi xmlns:a14="http://schemas.microsoft.com/office/drawing/2010/main" val="0"/>
                              </a:ext>
                            </a:extLst>
                          </a:blip>
                          <a:srcRect l="6334" t="18329" b="7700"/>
                          <a:stretch>
                            <a:fillRect/>
                          </a:stretch>
                        </pic:blipFill>
                        <pic:spPr>
                          <a:xfrm>
                            <a:off x="0" y="0"/>
                            <a:ext cx="2279746" cy="1833532"/>
                          </a:xfrm>
                          <a:prstGeom prst="rect">
                            <a:avLst/>
                          </a:prstGeom>
                          <a:noFill/>
                          <a:ln>
                            <a:noFill/>
                          </a:ln>
                        </pic:spPr>
                      </pic:pic>
                    </a:graphicData>
                  </a:graphic>
                </wp:inline>
              </w:drawing>
            </w:r>
          </w:p>
          <w:p>
            <w:pPr>
              <w:pStyle w:val="11"/>
              <w:ind w:firstLine="0" w:firstLineChars="0"/>
              <w:rPr>
                <w:rFonts w:hint="eastAsia" w:ascii="微软雅黑" w:hAnsi="微软雅黑" w:eastAsia="微软雅黑" w:cs="微软雅黑"/>
                <w:color w:val="C00000"/>
                <w:sz w:val="24"/>
                <w:szCs w:val="24"/>
              </w:rPr>
            </w:pPr>
            <w:r>
              <w:rPr>
                <w:rFonts w:hint="eastAsia" w:ascii="微软雅黑" w:hAnsi="微软雅黑" w:eastAsia="微软雅黑" w:cs="微软雅黑"/>
                <w:color w:val="C00000"/>
                <w:sz w:val="24"/>
                <w:szCs w:val="24"/>
              </w:rPr>
              <w:t>2.中国孕期妇女平衡膳食宝塔（2022）</w:t>
            </w:r>
          </w:p>
          <w:p>
            <w:pPr>
              <w:pStyle w:val="11"/>
              <w:ind w:firstLine="0" w:firstLineChars="0"/>
              <w:jc w:val="center"/>
              <w:rPr>
                <w:rFonts w:hint="eastAsia" w:ascii="微软雅黑" w:hAnsi="微软雅黑" w:eastAsia="微软雅黑" w:cs="微软雅黑"/>
                <w:b/>
                <w:color w:val="C00000"/>
                <w:sz w:val="24"/>
                <w:szCs w:val="24"/>
              </w:rPr>
            </w:pPr>
            <w:r>
              <w:rPr>
                <w:rFonts w:hint="eastAsia" w:ascii="微软雅黑" w:hAnsi="微软雅黑" w:eastAsia="微软雅黑" w:cs="微软雅黑"/>
                <w:sz w:val="24"/>
                <w:szCs w:val="24"/>
              </w:rPr>
              <w:drawing>
                <wp:inline distT="0" distB="0" distL="0" distR="0">
                  <wp:extent cx="2230755" cy="1667510"/>
                  <wp:effectExtent l="0" t="0" r="9525" b="8890"/>
                  <wp:docPr id="5" name="图片 5" descr="http://dg.cnsoc.org/upload/affix/2022081917065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dg.cnsoc.org/upload/affix/20220819170653935.jpg"/>
                          <pic:cNvPicPr>
                            <a:picLocks noChangeAspect="1" noChangeArrowheads="1"/>
                          </pic:cNvPicPr>
                        </pic:nvPicPr>
                        <pic:blipFill>
                          <a:blip r:embed="rId9" cstate="print">
                            <a:extLst>
                              <a:ext uri="{28A0092B-C50C-407E-A947-70E740481C1C}">
                                <a14:useLocalDpi xmlns:a14="http://schemas.microsoft.com/office/drawing/2010/main" val="0"/>
                              </a:ext>
                            </a:extLst>
                          </a:blip>
                          <a:srcRect l="5280" t="13058" b="8591"/>
                          <a:stretch>
                            <a:fillRect/>
                          </a:stretch>
                        </pic:blipFill>
                        <pic:spPr>
                          <a:xfrm>
                            <a:off x="0" y="0"/>
                            <a:ext cx="2237705" cy="1672861"/>
                          </a:xfrm>
                          <a:prstGeom prst="rect">
                            <a:avLst/>
                          </a:prstGeom>
                          <a:noFill/>
                          <a:ln>
                            <a:noFill/>
                          </a:ln>
                        </pic:spPr>
                      </pic:pic>
                    </a:graphicData>
                  </a:graphic>
                </wp:inline>
              </w:drawing>
            </w:r>
          </w:p>
        </w:tc>
        <w:tc>
          <w:tcPr>
            <w:tcW w:w="5243" w:type="dxa"/>
            <w:shd w:val="clear" w:color="auto" w:fill="auto"/>
          </w:tcPr>
          <w:p>
            <w:pPr>
              <w:jc w:val="left"/>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讲授法、问答法、提问法</w:t>
            </w:r>
          </w:p>
          <w:p>
            <w:pPr>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结合图片对备孕和孕期妇女膳食宝塔进行介绍，强调特殊生理时期的重要性。</w:t>
            </w:r>
          </w:p>
          <w:p>
            <w:pPr>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 xml:space="preserve">1.特殊生理时期具体包括哪些？ </w:t>
            </w:r>
          </w:p>
          <w:p>
            <w:pPr>
              <w:jc w:val="center"/>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drawing>
                <wp:inline distT="0" distB="0" distL="0" distR="0">
                  <wp:extent cx="1637665" cy="3006725"/>
                  <wp:effectExtent l="0" t="0" r="10795" b="8255"/>
                  <wp:docPr id="14" name="图片 14" descr="E:\文档\WeChat Files\wxid_6y061dn3egx412\FileStorage\Temp\54efc2c9f8371b74ebf4877a5a8e7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文档\WeChat Files\wxid_6y061dn3egx412\FileStorage\Temp\54efc2c9f8371b74ebf4877a5a8e7e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rot="16200000">
                            <a:off x="0" y="0"/>
                            <a:ext cx="1633074" cy="2997678"/>
                          </a:xfrm>
                          <a:prstGeom prst="rect">
                            <a:avLst/>
                          </a:prstGeom>
                          <a:noFill/>
                          <a:ln>
                            <a:noFill/>
                          </a:ln>
                        </pic:spPr>
                      </pic:pic>
                    </a:graphicData>
                  </a:graphic>
                </wp:inline>
              </w:drawing>
            </w:r>
          </w:p>
          <w:p>
            <w:pPr>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2.同学们知道女性怀孕后会有哪些变化吗？</w:t>
            </w:r>
          </w:p>
          <w:p>
            <w:pPr>
              <w:rPr>
                <w:rFonts w:hint="eastAsia" w:ascii="微软雅黑" w:hAnsi="微软雅黑" w:eastAsia="微软雅黑" w:cs="微软雅黑"/>
                <w:b/>
                <w:color w:val="0000FF"/>
                <w:sz w:val="24"/>
                <w:szCs w:val="24"/>
              </w:rPr>
            </w:pPr>
            <w:r>
              <w:rPr>
                <w:rFonts w:hint="eastAsia" w:ascii="微软雅黑" w:hAnsi="微软雅黑" w:eastAsia="微软雅黑" w:cs="微软雅黑"/>
                <w:b/>
                <w:color w:val="0000FF"/>
                <w:sz w:val="24"/>
                <w:szCs w:val="24"/>
              </w:rPr>
              <w:t>针对提出问题进行小组讨论——体现团队协作思辨能力</w:t>
            </w:r>
          </w:p>
          <w:p>
            <w:pPr>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①每个阶段的变化一样么，针对这样的情况，我们应该怎么样合理饮食，保证孕期正常的营养需求呢？——</w:t>
            </w:r>
            <w:r>
              <w:rPr>
                <w:rFonts w:hint="eastAsia" w:ascii="微软雅黑" w:hAnsi="微软雅黑" w:eastAsia="微软雅黑" w:cs="微软雅黑"/>
                <w:b/>
                <w:bCs/>
                <w:color w:val="000000" w:themeColor="text1"/>
                <w:sz w:val="24"/>
                <w:szCs w:val="24"/>
              </w:rPr>
              <w:t>探索分析</w:t>
            </w:r>
          </w:p>
          <w:p>
            <w:pPr>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②孕妇的营养是多多益善么？对困扰孕妇的两大营养难点，贫血与妊娠高血糖热点问题讨论辩论——</w:t>
            </w:r>
            <w:r>
              <w:rPr>
                <w:rFonts w:hint="eastAsia" w:ascii="微软雅黑" w:hAnsi="微软雅黑" w:eastAsia="微软雅黑" w:cs="微软雅黑"/>
                <w:b/>
                <w:bCs/>
                <w:color w:val="000000" w:themeColor="text1"/>
                <w:sz w:val="24"/>
                <w:szCs w:val="24"/>
              </w:rPr>
              <w:t>辩证思维</w:t>
            </w:r>
          </w:p>
          <w:p>
            <w:pPr>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3.孕期积极营养干预的最终意义是什么？</w:t>
            </w:r>
          </w:p>
          <w:p>
            <w:pPr>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答：孕期保健是指孕早期、孕中期以及孕晚期为孕妇和胎儿的健康所进行的一系列保健措施，从而保证母婴安全，降低孕产妇死亡率和围产儿死亡率。</w:t>
            </w:r>
          </w:p>
          <w:p>
            <w:pPr>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4.根据膳食宝塔内容掌握各种食物的每日摄入量。</w:t>
            </w:r>
          </w:p>
        </w:tc>
        <w:tc>
          <w:tcPr>
            <w:tcW w:w="1417"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1.结合课前预习，巩固膳食宝塔中的各项数据，并弄清楚孕期营养的重要性。</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2.通过讨论分析激发学生主动学习的积极性。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trPr>
        <w:tc>
          <w:tcPr>
            <w:tcW w:w="3796" w:type="dxa"/>
            <w:shd w:val="clear" w:color="auto" w:fill="auto"/>
          </w:tcPr>
          <w:p>
            <w:pPr>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二、</w:t>
            </w:r>
            <w:r>
              <w:rPr>
                <w:rFonts w:hint="eastAsia" w:ascii="微软雅黑" w:hAnsi="微软雅黑" w:eastAsia="微软雅黑" w:cs="微软雅黑"/>
                <w:b/>
                <w:color w:val="C00000"/>
                <w:sz w:val="24"/>
                <w:szCs w:val="24"/>
                <w:lang w:val="en-US" w:eastAsia="zh-CN"/>
              </w:rPr>
              <w:t>孕妇及乳母</w:t>
            </w:r>
            <w:r>
              <w:rPr>
                <w:rFonts w:hint="eastAsia" w:ascii="微软雅黑" w:hAnsi="微软雅黑" w:eastAsia="微软雅黑" w:cs="微软雅黑"/>
                <w:b/>
                <w:color w:val="C00000"/>
                <w:sz w:val="24"/>
                <w:szCs w:val="24"/>
              </w:rPr>
              <w:t>妇女膳食指南核心内容（</w:t>
            </w:r>
            <w:r>
              <w:rPr>
                <w:rFonts w:hint="eastAsia" w:ascii="微软雅黑" w:hAnsi="微软雅黑" w:eastAsia="微软雅黑" w:cs="微软雅黑"/>
                <w:b/>
                <w:color w:val="C00000"/>
                <w:sz w:val="24"/>
                <w:szCs w:val="24"/>
                <w:lang w:val="en-US" w:eastAsia="zh-CN"/>
              </w:rPr>
              <w:t>20</w:t>
            </w:r>
            <w:r>
              <w:rPr>
                <w:rFonts w:hint="eastAsia" w:ascii="微软雅黑" w:hAnsi="微软雅黑" w:eastAsia="微软雅黑" w:cs="微软雅黑"/>
                <w:b/>
                <w:color w:val="C00000"/>
                <w:sz w:val="24"/>
                <w:szCs w:val="24"/>
              </w:rPr>
              <w:t>分钟）</w:t>
            </w:r>
          </w:p>
          <w:p>
            <w:pPr>
              <w:jc w:val="left"/>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sz w:val="24"/>
                <w:szCs w:val="24"/>
              </w:rPr>
              <w:t>（一）</w:t>
            </w:r>
            <w:r>
              <w:rPr>
                <w:rFonts w:hint="eastAsia" w:ascii="微软雅黑" w:hAnsi="微软雅黑" w:eastAsia="微软雅黑" w:cs="微软雅黑"/>
                <w:color w:val="000000" w:themeColor="text1"/>
                <w:sz w:val="24"/>
                <w:szCs w:val="24"/>
              </w:rPr>
              <w:t>调整孕前体重至正常范围，保证孕期体重适宜增长</w:t>
            </w:r>
          </w:p>
          <w:p>
            <w:pPr>
              <w:jc w:val="left"/>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sz w:val="24"/>
                <w:szCs w:val="24"/>
              </w:rPr>
              <w:t>（二）</w:t>
            </w:r>
            <w:r>
              <w:rPr>
                <w:rFonts w:hint="eastAsia" w:ascii="微软雅黑" w:hAnsi="微软雅黑" w:eastAsia="微软雅黑" w:cs="微软雅黑"/>
                <w:color w:val="000000" w:themeColor="text1"/>
                <w:sz w:val="24"/>
                <w:szCs w:val="24"/>
              </w:rPr>
              <w:t>常吃含铁丰富的食物，选用碘盐，合理补充叶酸和维生素D</w:t>
            </w:r>
          </w:p>
          <w:p>
            <w:pPr>
              <w:jc w:val="left"/>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sz w:val="24"/>
                <w:szCs w:val="24"/>
              </w:rPr>
              <w:t>（三）</w:t>
            </w:r>
            <w:r>
              <w:rPr>
                <w:rFonts w:hint="eastAsia" w:ascii="微软雅黑" w:hAnsi="微软雅黑" w:eastAsia="微软雅黑" w:cs="微软雅黑"/>
                <w:color w:val="000000" w:themeColor="text1"/>
                <w:sz w:val="24"/>
                <w:szCs w:val="24"/>
              </w:rPr>
              <w:t>孕吐严重者，可少量多餐，保证摄入含必需碳水化合物的食物</w:t>
            </w:r>
          </w:p>
          <w:p>
            <w:pPr>
              <w:jc w:val="left"/>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sz w:val="24"/>
                <w:szCs w:val="24"/>
              </w:rPr>
              <w:t>（四）</w:t>
            </w:r>
            <w:r>
              <w:rPr>
                <w:rFonts w:hint="eastAsia" w:ascii="微软雅黑" w:hAnsi="微软雅黑" w:eastAsia="微软雅黑" w:cs="微软雅黑"/>
                <w:color w:val="000000" w:themeColor="text1"/>
                <w:sz w:val="24"/>
                <w:szCs w:val="24"/>
              </w:rPr>
              <w:t>孕中晚期适量增加奶、鱼、禽、蛋、瘦肉的摄入</w:t>
            </w:r>
          </w:p>
          <w:p>
            <w:pPr>
              <w:jc w:val="left"/>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sz w:val="24"/>
                <w:szCs w:val="24"/>
              </w:rPr>
              <w:t>（五）</w:t>
            </w:r>
            <w:r>
              <w:rPr>
                <w:rFonts w:hint="eastAsia" w:ascii="微软雅黑" w:hAnsi="微软雅黑" w:eastAsia="微软雅黑" w:cs="微软雅黑"/>
                <w:color w:val="000000" w:themeColor="text1"/>
                <w:sz w:val="24"/>
                <w:szCs w:val="24"/>
              </w:rPr>
              <w:t>经常户外活动，禁烟酒，保持健康生活方式</w:t>
            </w:r>
          </w:p>
          <w:p>
            <w:pPr>
              <w:rPr>
                <w:rFonts w:hint="eastAsia" w:ascii="微软雅黑" w:hAnsi="微软雅黑" w:eastAsia="微软雅黑" w:cs="微软雅黑"/>
                <w:b/>
                <w:color w:val="C00000"/>
                <w:sz w:val="24"/>
                <w:szCs w:val="24"/>
              </w:rPr>
            </w:pPr>
            <w:r>
              <w:rPr>
                <w:rFonts w:hint="eastAsia" w:ascii="微软雅黑" w:hAnsi="微软雅黑" w:eastAsia="微软雅黑" w:cs="微软雅黑"/>
                <w:sz w:val="24"/>
                <w:szCs w:val="24"/>
              </w:rPr>
              <w:t>（六）</w:t>
            </w:r>
            <w:r>
              <w:rPr>
                <w:rFonts w:hint="eastAsia" w:ascii="微软雅黑" w:hAnsi="微软雅黑" w:eastAsia="微软雅黑" w:cs="微软雅黑"/>
                <w:color w:val="000000" w:themeColor="text1"/>
                <w:sz w:val="24"/>
                <w:szCs w:val="24"/>
              </w:rPr>
              <w:t>愉快孕育生命，积极准备母乳喂养</w:t>
            </w:r>
          </w:p>
        </w:tc>
        <w:tc>
          <w:tcPr>
            <w:tcW w:w="5243" w:type="dxa"/>
            <w:shd w:val="clear" w:color="auto" w:fill="auto"/>
          </w:tcPr>
          <w:p>
            <w:pPr>
              <w:jc w:val="left"/>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演示法、讲授法</w:t>
            </w:r>
          </w:p>
          <w:p>
            <w:pPr>
              <w:jc w:val="left"/>
              <w:rPr>
                <w:rFonts w:hint="eastAsia" w:ascii="微软雅黑" w:hAnsi="微软雅黑" w:eastAsia="微软雅黑" w:cs="微软雅黑"/>
                <w:color w:val="000000"/>
                <w:sz w:val="24"/>
                <w:szCs w:val="24"/>
              </w:rPr>
            </w:pPr>
            <w:r>
              <w:rPr>
                <w:rFonts w:hint="eastAsia" w:ascii="微软雅黑" w:hAnsi="微软雅黑" w:eastAsia="微软雅黑" w:cs="微软雅黑"/>
                <w:b/>
                <w:color w:val="C00000"/>
                <w:sz w:val="24"/>
                <w:szCs w:val="24"/>
              </w:rPr>
              <mc:AlternateContent>
                <mc:Choice Requires="wps">
                  <w:drawing>
                    <wp:inline distT="0" distB="0" distL="114300" distR="114300">
                      <wp:extent cx="3034030" cy="302260"/>
                      <wp:effectExtent l="8255" t="8255" r="20955" b="9525"/>
                      <wp:docPr id="11" name="矩形 11"/>
                      <wp:cNvGraphicFramePr/>
                      <a:graphic xmlns:a="http://schemas.openxmlformats.org/drawingml/2006/main">
                        <a:graphicData uri="http://schemas.microsoft.com/office/word/2010/wordprocessingShape">
                          <wps:wsp>
                            <wps:cNvSpPr>
                              <a:spLocks noChangeArrowheads="1"/>
                            </wps:cNvSpPr>
                            <wps:spPr bwMode="auto">
                              <a:xfrm>
                                <a:off x="0" y="0"/>
                                <a:ext cx="3034030" cy="302260"/>
                              </a:xfrm>
                              <a:prstGeom prst="rect">
                                <a:avLst/>
                              </a:prstGeom>
                              <a:noFill/>
                              <a:ln w="15875">
                                <a:solidFill>
                                  <a:srgbClr val="C00000"/>
                                </a:solidFill>
                                <a:miter lim="800000"/>
                              </a:ln>
                              <a:effectLst/>
                            </wps:spPr>
                            <wps:txbx>
                              <w:txbxContent>
                                <w:p>
                                  <w:pPr>
                                    <w:rPr>
                                      <w:rFonts w:ascii="幼圆" w:eastAsia="幼圆"/>
                                      <w:b/>
                                      <w:color w:val="C00000"/>
                                      <w:sz w:val="21"/>
                                      <w:szCs w:val="22"/>
                                    </w:rPr>
                                  </w:pPr>
                                  <w:r>
                                    <w:rPr>
                                      <w:rFonts w:hint="eastAsia" w:ascii="幼圆" w:eastAsia="幼圆"/>
                                      <w:b/>
                                      <w:color w:val="C00000"/>
                                      <w:sz w:val="21"/>
                                      <w:szCs w:val="22"/>
                                    </w:rPr>
                                    <w:t>重点</w:t>
                                  </w:r>
                                  <w:r>
                                    <w:rPr>
                                      <w:rFonts w:ascii="Times New Roman" w:hAnsi="Times New Roman" w:eastAsia="幼圆" w:cs="Times New Roman"/>
                                      <w:b/>
                                      <w:color w:val="C00000"/>
                                      <w:sz w:val="21"/>
                                      <w:szCs w:val="22"/>
                                    </w:rPr>
                                    <w:t>1</w:t>
                                  </w:r>
                                  <w:r>
                                    <w:rPr>
                                      <w:rFonts w:hint="eastAsia" w:ascii="幼圆" w:eastAsia="幼圆"/>
                                      <w:b/>
                                      <w:color w:val="C00000"/>
                                      <w:sz w:val="21"/>
                                      <w:szCs w:val="22"/>
                                    </w:rPr>
                                    <w:t>：</w:t>
                                  </w:r>
                                  <w:r>
                                    <w:rPr>
                                      <w:rFonts w:hint="eastAsia" w:ascii="Times New Roman" w:hAnsi="Times New Roman" w:eastAsia="幼圆" w:cs="Times New Roman"/>
                                      <w:b/>
                                      <w:color w:val="C00000"/>
                                      <w:sz w:val="21"/>
                                      <w:szCs w:val="36"/>
                                    </w:rPr>
                                    <w:t>膳食指南核心内容的深度理解</w:t>
                                  </w:r>
                                </w:p>
                              </w:txbxContent>
                            </wps:txbx>
                            <wps:bodyPr rot="0" vert="horz" wrap="square" lIns="91440" tIns="45720" rIns="91440" bIns="45720" anchor="t" anchorCtr="0" upright="1">
                              <a:noAutofit/>
                            </wps:bodyPr>
                          </wps:wsp>
                        </a:graphicData>
                      </a:graphic>
                    </wp:inline>
                  </w:drawing>
                </mc:Choice>
                <mc:Fallback>
                  <w:pict>
                    <v:rect id="_x0000_s1026" o:spid="_x0000_s1026" o:spt="1" style="height:23.8pt;width:238.9pt;" filled="f" stroked="t" coordsize="21600,21600" o:gfxdata="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9pBzdMAAAAEAQAADwAAAAAAAAABACAAAAAiAAAAZHJzL2Rvd25y&#10;ZXYueG1sUEsBAhQAFAAAAAgAh07iQICqxM88AgAAYgQAAA4AAAAAAAAAAQAgAAAAIgEAAGRycy9l&#10;Mm9Eb2MueG1sUEsFBgAAAAAGAAYAWQEAANAFAAAAAA==&#10;">
                      <v:fill on="f" focussize="0,0"/>
                      <v:stroke weight="1.25pt" color="#C00000" miterlimit="8" joinstyle="miter"/>
                      <v:imagedata o:title=""/>
                      <o:lock v:ext="edit" aspectratio="f"/>
                      <v:textbox>
                        <w:txbxContent>
                          <w:p>
                            <w:pPr>
                              <w:rPr>
                                <w:rFonts w:ascii="幼圆" w:eastAsia="幼圆"/>
                                <w:b/>
                                <w:color w:val="C00000"/>
                                <w:sz w:val="21"/>
                                <w:szCs w:val="22"/>
                              </w:rPr>
                            </w:pPr>
                            <w:r>
                              <w:rPr>
                                <w:rFonts w:hint="eastAsia" w:ascii="幼圆" w:eastAsia="幼圆"/>
                                <w:b/>
                                <w:color w:val="C00000"/>
                                <w:sz w:val="21"/>
                                <w:szCs w:val="22"/>
                              </w:rPr>
                              <w:t>重点</w:t>
                            </w:r>
                            <w:r>
                              <w:rPr>
                                <w:rFonts w:ascii="Times New Roman" w:hAnsi="Times New Roman" w:eastAsia="幼圆" w:cs="Times New Roman"/>
                                <w:b/>
                                <w:color w:val="C00000"/>
                                <w:sz w:val="21"/>
                                <w:szCs w:val="22"/>
                              </w:rPr>
                              <w:t>1</w:t>
                            </w:r>
                            <w:r>
                              <w:rPr>
                                <w:rFonts w:hint="eastAsia" w:ascii="幼圆" w:eastAsia="幼圆"/>
                                <w:b/>
                                <w:color w:val="C00000"/>
                                <w:sz w:val="21"/>
                                <w:szCs w:val="22"/>
                              </w:rPr>
                              <w:t>：</w:t>
                            </w:r>
                            <w:r>
                              <w:rPr>
                                <w:rFonts w:hint="eastAsia" w:ascii="Times New Roman" w:hAnsi="Times New Roman" w:eastAsia="幼圆" w:cs="Times New Roman"/>
                                <w:b/>
                                <w:color w:val="C00000"/>
                                <w:sz w:val="21"/>
                                <w:szCs w:val="36"/>
                              </w:rPr>
                              <w:t>膳食指南核心内容的深度理解</w:t>
                            </w:r>
                          </w:p>
                        </w:txbxContent>
                      </v:textbox>
                      <w10:wrap type="none"/>
                      <w10:anchorlock/>
                    </v:rect>
                  </w:pict>
                </mc:Fallback>
              </mc:AlternateContent>
            </w:r>
          </w:p>
          <w:p>
            <w:pPr>
              <w:jc w:val="left"/>
              <w:rPr>
                <w:rFonts w:hint="eastAsia" w:ascii="微软雅黑" w:hAnsi="微软雅黑" w:eastAsia="微软雅黑" w:cs="微软雅黑"/>
                <w:color w:val="C00000"/>
                <w:sz w:val="24"/>
                <w:szCs w:val="24"/>
              </w:rPr>
            </w:pPr>
            <w:r>
              <w:rPr>
                <w:rFonts w:hint="eastAsia" w:ascii="微软雅黑" w:hAnsi="微软雅黑" w:eastAsia="微软雅黑" w:cs="微软雅黑"/>
                <w:color w:val="C00000"/>
                <w:sz w:val="24"/>
                <w:szCs w:val="24"/>
              </w:rPr>
              <w:t>突破方法：详细介绍备孕和孕期妇女膳食指南的核心内容，结合病例说明其制定的理由。</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1.为什么要进行备孕？</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2.孕吐对孕妇的影响？</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3.素食主义孕妇应如何满足蛋白质的需求？</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4.奶粉是无法进行母乳喂养时的无奈选择，应如何对待奶粉喂养？</w:t>
            </w:r>
          </w:p>
          <w:p>
            <w:pPr>
              <w:rPr>
                <w:rFonts w:hint="eastAsia" w:ascii="微软雅黑" w:hAnsi="微软雅黑" w:eastAsia="微软雅黑" w:cs="微软雅黑"/>
                <w:sz w:val="24"/>
                <w:szCs w:val="24"/>
              </w:rPr>
            </w:pPr>
            <w:r>
              <w:rPr>
                <w:rFonts w:hint="eastAsia" w:ascii="微软雅黑" w:hAnsi="微软雅黑" w:eastAsia="微软雅黑" w:cs="微软雅黑"/>
                <w:b/>
                <w:color w:val="C00000"/>
                <w:sz w:val="24"/>
                <w:szCs w:val="24"/>
              </w:rPr>
              <mc:AlternateContent>
                <mc:Choice Requires="wps">
                  <w:drawing>
                    <wp:inline distT="0" distB="0" distL="114300" distR="114300">
                      <wp:extent cx="3034030" cy="302260"/>
                      <wp:effectExtent l="8255" t="8255" r="20955" b="9525"/>
                      <wp:docPr id="17" name="矩形 17"/>
                      <wp:cNvGraphicFramePr/>
                      <a:graphic xmlns:a="http://schemas.openxmlformats.org/drawingml/2006/main">
                        <a:graphicData uri="http://schemas.microsoft.com/office/word/2010/wordprocessingShape">
                          <wps:wsp>
                            <wps:cNvSpPr>
                              <a:spLocks noChangeArrowheads="1"/>
                            </wps:cNvSpPr>
                            <wps:spPr bwMode="auto">
                              <a:xfrm>
                                <a:off x="0" y="0"/>
                                <a:ext cx="3034030" cy="302260"/>
                              </a:xfrm>
                              <a:prstGeom prst="rect">
                                <a:avLst/>
                              </a:prstGeom>
                              <a:noFill/>
                              <a:ln w="15875">
                                <a:solidFill>
                                  <a:srgbClr val="C00000"/>
                                </a:solidFill>
                                <a:miter lim="800000"/>
                              </a:ln>
                              <a:effectLst/>
                            </wps:spPr>
                            <wps:txbx>
                              <w:txbxContent>
                                <w:p>
                                  <w:pPr>
                                    <w:rPr>
                                      <w:rFonts w:ascii="幼圆" w:eastAsia="幼圆"/>
                                      <w:b/>
                                      <w:color w:val="C00000"/>
                                      <w:sz w:val="21"/>
                                      <w:szCs w:val="22"/>
                                    </w:rPr>
                                  </w:pPr>
                                  <w:r>
                                    <w:rPr>
                                      <w:rFonts w:hint="eastAsia" w:ascii="幼圆" w:eastAsia="幼圆"/>
                                      <w:b/>
                                      <w:color w:val="C00000"/>
                                      <w:sz w:val="21"/>
                                      <w:szCs w:val="22"/>
                                    </w:rPr>
                                    <w:t>难点1：</w:t>
                                  </w:r>
                                  <w:r>
                                    <w:rPr>
                                      <w:rFonts w:hint="eastAsia" w:ascii="Times New Roman" w:hAnsi="Times New Roman" w:eastAsia="幼圆" w:cs="Times New Roman"/>
                                      <w:b/>
                                      <w:color w:val="C00000"/>
                                      <w:sz w:val="21"/>
                                      <w:szCs w:val="36"/>
                                    </w:rPr>
                                    <w:t>特殊疾病婴儿的奶粉如何选择？</w:t>
                                  </w:r>
                                </w:p>
                              </w:txbxContent>
                            </wps:txbx>
                            <wps:bodyPr rot="0" vert="horz" wrap="square" lIns="91440" tIns="45720" rIns="91440" bIns="45720" anchor="t" anchorCtr="0" upright="1">
                              <a:noAutofit/>
                            </wps:bodyPr>
                          </wps:wsp>
                        </a:graphicData>
                      </a:graphic>
                    </wp:inline>
                  </w:drawing>
                </mc:Choice>
                <mc:Fallback>
                  <w:pict>
                    <v:rect id="_x0000_s1026" o:spid="_x0000_s1026" o:spt="1" style="height:23.8pt;width:238.9pt;" filled="f" stroked="t" coordsize="21600,21600" o:gfxdata="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aQc3TAAAABAEAAA8AAAAAAAAAAQAgAAAAIgAAAGRycy9kb3du&#10;cmV2LnhtbFBLAQIUABQAAAAIAIdO4kALNGWlPQIAAGIEAAAOAAAAAAAAAAEAIAAAACIBAABkcnMv&#10;ZTJvRG9jLnhtbFBLBQYAAAAABgAGAFkBAADRBQAAAAA=&#10;">
                      <v:fill on="f" focussize="0,0"/>
                      <v:stroke weight="1.25pt" color="#C00000" miterlimit="8" joinstyle="miter"/>
                      <v:imagedata o:title=""/>
                      <o:lock v:ext="edit" aspectratio="f"/>
                      <v:textbox>
                        <w:txbxContent>
                          <w:p>
                            <w:pPr>
                              <w:rPr>
                                <w:rFonts w:ascii="幼圆" w:eastAsia="幼圆"/>
                                <w:b/>
                                <w:color w:val="C00000"/>
                                <w:sz w:val="21"/>
                                <w:szCs w:val="22"/>
                              </w:rPr>
                            </w:pPr>
                            <w:r>
                              <w:rPr>
                                <w:rFonts w:hint="eastAsia" w:ascii="幼圆" w:eastAsia="幼圆"/>
                                <w:b/>
                                <w:color w:val="C00000"/>
                                <w:sz w:val="21"/>
                                <w:szCs w:val="22"/>
                              </w:rPr>
                              <w:t>难点1：</w:t>
                            </w:r>
                            <w:r>
                              <w:rPr>
                                <w:rFonts w:hint="eastAsia" w:ascii="Times New Roman" w:hAnsi="Times New Roman" w:eastAsia="幼圆" w:cs="Times New Roman"/>
                                <w:b/>
                                <w:color w:val="C00000"/>
                                <w:sz w:val="21"/>
                                <w:szCs w:val="36"/>
                              </w:rPr>
                              <w:t>特殊疾病婴儿的奶粉如何选择？</w:t>
                            </w:r>
                          </w:p>
                        </w:txbxContent>
                      </v:textbox>
                      <w10:wrap type="none"/>
                      <w10:anchorlock/>
                    </v:rect>
                  </w:pict>
                </mc:Fallback>
              </mc:AlternateContent>
            </w:r>
          </w:p>
          <w:p>
            <w:pPr>
              <w:rPr>
                <w:rFonts w:hint="eastAsia" w:ascii="微软雅黑" w:hAnsi="微软雅黑" w:eastAsia="微软雅黑" w:cs="微软雅黑"/>
                <w:b/>
                <w:color w:val="0000FF"/>
                <w:sz w:val="24"/>
                <w:szCs w:val="24"/>
              </w:rPr>
            </w:pPr>
            <w:r>
              <w:rPr>
                <w:rFonts w:hint="eastAsia" w:ascii="微软雅黑" w:hAnsi="微软雅黑" w:eastAsia="微软雅黑" w:cs="微软雅黑"/>
                <w:b/>
                <w:color w:val="0000FF"/>
                <w:sz w:val="24"/>
                <w:szCs w:val="24"/>
              </w:rPr>
              <w:t>5.校企协同育人——在实践教学中上好“大思政课”</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中特生命健康科技集团股份有限公司负责人针对与特医奶粉进行了详细的介绍，学生通过对企业实习，更加生动的理解了婴儿对各种奶粉的需求，以及特医奶粉开发与生产的意义。</w:t>
            </w:r>
          </w:p>
          <w:p>
            <w:pPr>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1492250" cy="1122045"/>
                  <wp:effectExtent l="0" t="0" r="1270" b="5715"/>
                  <wp:docPr id="2" name="图片 1" descr="IMG_20230620_10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0230620_105109"/>
                          <pic:cNvPicPr>
                            <a:picLocks noChangeAspect="1"/>
                          </pic:cNvPicPr>
                        </pic:nvPicPr>
                        <pic:blipFill>
                          <a:blip r:embed="rId11"/>
                          <a:stretch>
                            <a:fillRect/>
                          </a:stretch>
                        </pic:blipFill>
                        <pic:spPr>
                          <a:xfrm>
                            <a:off x="0" y="0"/>
                            <a:ext cx="1492250" cy="1122045"/>
                          </a:xfrm>
                          <a:prstGeom prst="rect">
                            <a:avLst/>
                          </a:prstGeom>
                          <a:noFill/>
                          <a:ln>
                            <a:noFill/>
                          </a:ln>
                        </pic:spPr>
                      </pic:pic>
                    </a:graphicData>
                  </a:graphic>
                </wp:inline>
              </w:drawing>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rPr>
              <w:drawing>
                <wp:inline distT="0" distB="0" distL="114300" distR="114300">
                  <wp:extent cx="1492250" cy="1110615"/>
                  <wp:effectExtent l="0" t="0" r="1270" b="1905"/>
                  <wp:docPr id="3" name="图片 2" descr="IMG_20230620_11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0230620_110915"/>
                          <pic:cNvPicPr>
                            <a:picLocks noChangeAspect="1"/>
                          </pic:cNvPicPr>
                        </pic:nvPicPr>
                        <pic:blipFill>
                          <a:blip r:embed="rId12"/>
                          <a:stretch>
                            <a:fillRect/>
                          </a:stretch>
                        </pic:blipFill>
                        <pic:spPr>
                          <a:xfrm>
                            <a:off x="0" y="0"/>
                            <a:ext cx="1492250" cy="1110615"/>
                          </a:xfrm>
                          <a:prstGeom prst="rect">
                            <a:avLst/>
                          </a:prstGeom>
                          <a:noFill/>
                          <a:ln>
                            <a:noFill/>
                          </a:ln>
                        </pic:spPr>
                      </pic:pic>
                    </a:graphicData>
                  </a:graphic>
                </wp:inline>
              </w:drawing>
            </w:r>
          </w:p>
        </w:tc>
        <w:tc>
          <w:tcPr>
            <w:tcW w:w="1417"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1.学生深度理解备孕和孕期妇女膳食指南的核心内容。</w:t>
            </w:r>
          </w:p>
          <w:p>
            <w:pPr>
              <w:rPr>
                <w:rFonts w:hint="eastAsia" w:ascii="微软雅黑" w:hAnsi="微软雅黑" w:eastAsia="微软雅黑" w:cs="微软雅黑"/>
                <w:b/>
                <w:color w:val="0000FF"/>
                <w:sz w:val="24"/>
                <w:szCs w:val="24"/>
              </w:rPr>
            </w:pPr>
            <w:r>
              <w:rPr>
                <w:rFonts w:hint="eastAsia" w:ascii="微软雅黑" w:hAnsi="微软雅黑" w:eastAsia="微软雅黑" w:cs="微软雅黑"/>
                <w:b/>
                <w:color w:val="0000FF"/>
                <w:sz w:val="24"/>
                <w:szCs w:val="24"/>
              </w:rPr>
              <w:t>2.通过企业实习，学生进一步了解特殊营养食品的市场需求。</w:t>
            </w:r>
          </w:p>
          <w:p>
            <w:pPr>
              <w:rPr>
                <w:rFonts w:hint="eastAsia" w:ascii="微软雅黑" w:hAnsi="微软雅黑" w:eastAsia="微软雅黑" w:cs="微软雅黑"/>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6" w:type="dxa"/>
            <w:shd w:val="clear" w:color="auto" w:fill="auto"/>
          </w:tcPr>
          <w:p>
            <w:pPr>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三、膳食指南的实践应用</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（一）监测和管理体重，愉快孕育新生命</w:t>
            </w:r>
            <w:r>
              <w:rPr>
                <w:rFonts w:hint="eastAsia" w:ascii="微软雅黑" w:hAnsi="微软雅黑" w:eastAsia="微软雅黑" w:cs="微软雅黑"/>
                <w:b/>
                <w:color w:val="C00000"/>
                <w:sz w:val="24"/>
                <w:szCs w:val="24"/>
              </w:rPr>
              <w:t>（5分钟）</w:t>
            </w:r>
          </w:p>
          <w:p>
            <w:pPr>
              <w:ind w:firstLine="240" w:firstLineChars="100"/>
              <w:rPr>
                <w:rFonts w:hint="eastAsia" w:ascii="微软雅黑" w:hAnsi="微软雅黑" w:eastAsia="微软雅黑" w:cs="微软雅黑"/>
                <w:sz w:val="24"/>
                <w:szCs w:val="24"/>
              </w:rPr>
            </w:pPr>
            <w:r>
              <w:rPr>
                <w:rFonts w:hint="eastAsia" w:ascii="微软雅黑" w:hAnsi="微软雅黑" w:eastAsia="微软雅黑" w:cs="微软雅黑"/>
                <w:sz w:val="24"/>
                <w:szCs w:val="24"/>
              </w:rPr>
              <w:t>1.每周至少称重一次</w:t>
            </w:r>
          </w:p>
          <w:p>
            <w:pPr>
              <w:ind w:firstLine="240" w:firstLineChars="100"/>
              <w:rPr>
                <w:rFonts w:hint="eastAsia" w:ascii="微软雅黑" w:hAnsi="微软雅黑" w:eastAsia="微软雅黑" w:cs="微软雅黑"/>
                <w:sz w:val="24"/>
                <w:szCs w:val="24"/>
              </w:rPr>
            </w:pPr>
            <w:r>
              <w:rPr>
                <w:rFonts w:hint="eastAsia" w:ascii="微软雅黑" w:hAnsi="微软雅黑" w:eastAsia="微软雅黑" w:cs="微软雅黑"/>
                <w:sz w:val="24"/>
                <w:szCs w:val="24"/>
              </w:rPr>
              <w:t>2.每次固定时间称重</w:t>
            </w:r>
          </w:p>
          <w:p>
            <w:pPr>
              <w:ind w:firstLine="240" w:firstLineChars="100"/>
              <w:rPr>
                <w:rFonts w:hint="eastAsia" w:ascii="微软雅黑" w:hAnsi="微软雅黑" w:eastAsia="微软雅黑" w:cs="微软雅黑"/>
                <w:sz w:val="24"/>
                <w:szCs w:val="24"/>
              </w:rPr>
            </w:pPr>
            <w:r>
              <w:rPr>
                <w:rFonts w:hint="eastAsia" w:ascii="微软雅黑" w:hAnsi="微软雅黑" w:eastAsia="微软雅黑" w:cs="微软雅黑"/>
                <w:sz w:val="24"/>
                <w:szCs w:val="24"/>
              </w:rPr>
              <w:t>3.应明确孕期适宜增重目标</w:t>
            </w:r>
          </w:p>
        </w:tc>
        <w:tc>
          <w:tcPr>
            <w:tcW w:w="5243" w:type="dxa"/>
            <w:shd w:val="clear" w:color="auto" w:fill="auto"/>
          </w:tcPr>
          <w:p>
            <w:pPr>
              <w:jc w:val="left"/>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讲授法、问答法、举例法</w:t>
            </w:r>
          </w:p>
          <w:p>
            <w:pPr>
              <w:jc w:val="center"/>
              <w:rPr>
                <w:rFonts w:hint="eastAsia" w:ascii="微软雅黑" w:hAnsi="微软雅黑" w:eastAsia="微软雅黑" w:cs="微软雅黑"/>
                <w:b/>
                <w:color w:val="C00000"/>
                <w:sz w:val="24"/>
                <w:szCs w:val="24"/>
              </w:rPr>
            </w:pPr>
            <w:r>
              <w:rPr>
                <w:rFonts w:hint="eastAsia" w:ascii="微软雅黑" w:hAnsi="微软雅黑" w:eastAsia="微软雅黑" w:cs="微软雅黑"/>
                <w:color w:val="000000"/>
                <w:sz w:val="24"/>
                <w:szCs w:val="24"/>
              </w:rPr>
              <w:drawing>
                <wp:inline distT="0" distB="0" distL="0" distR="0">
                  <wp:extent cx="864235" cy="3209290"/>
                  <wp:effectExtent l="0" t="0" r="6350" b="4445"/>
                  <wp:docPr id="23" name="图片 23" descr="E:\文档\WeChat Files\wxid_6y061dn3egx412\FileStorage\Temp\841c8bf4d9c8c5a38bb50a2d9b64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文档\WeChat Files\wxid_6y061dn3egx412\FileStorage\Temp\841c8bf4d9c8c5a38bb50a2d9b64a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rot="16200000">
                            <a:off x="0" y="0"/>
                            <a:ext cx="873058" cy="3240227"/>
                          </a:xfrm>
                          <a:prstGeom prst="rect">
                            <a:avLst/>
                          </a:prstGeom>
                          <a:noFill/>
                          <a:ln>
                            <a:noFill/>
                          </a:ln>
                        </pic:spPr>
                      </pic:pic>
                    </a:graphicData>
                  </a:graphic>
                </wp:inline>
              </w:drawing>
            </w:r>
          </w:p>
          <w:p>
            <w:pPr>
              <w:jc w:val="center"/>
              <w:rPr>
                <w:rFonts w:hint="eastAsia" w:ascii="微软雅黑" w:hAnsi="微软雅黑" w:eastAsia="微软雅黑" w:cs="微软雅黑"/>
                <w:b/>
                <w:sz w:val="24"/>
                <w:szCs w:val="24"/>
              </w:rPr>
            </w:pPr>
          </w:p>
        </w:tc>
        <w:tc>
          <w:tcPr>
            <w:tcW w:w="1417"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学生掌握孕妇管理体重的方法和孕期体重管理的必要性。</w:t>
            </w:r>
          </w:p>
          <w:p>
            <w:pPr>
              <w:rPr>
                <w:rFonts w:hint="eastAsia" w:ascii="微软雅黑" w:hAnsi="微软雅黑" w:eastAsia="微软雅黑" w:cs="微软雅黑"/>
                <w:b/>
                <w:color w:val="C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trPr>
        <w:tc>
          <w:tcPr>
            <w:tcW w:w="3796" w:type="dxa"/>
            <w:shd w:val="clear" w:color="auto" w:fill="auto"/>
          </w:tcPr>
          <w:p>
            <w:pPr>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三、膳食指南的实践应用</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（二）如何满足对叶酸和铁的需要</w:t>
            </w:r>
            <w:r>
              <w:rPr>
                <w:rFonts w:hint="eastAsia" w:ascii="微软雅黑" w:hAnsi="微软雅黑" w:eastAsia="微软雅黑" w:cs="微软雅黑"/>
                <w:b/>
                <w:color w:val="C00000"/>
                <w:sz w:val="24"/>
                <w:szCs w:val="24"/>
              </w:rPr>
              <w:t>（</w:t>
            </w:r>
            <w:r>
              <w:rPr>
                <w:rFonts w:hint="eastAsia" w:ascii="微软雅黑" w:hAnsi="微软雅黑" w:eastAsia="微软雅黑" w:cs="微软雅黑"/>
                <w:b/>
                <w:color w:val="C00000"/>
                <w:sz w:val="24"/>
                <w:szCs w:val="24"/>
                <w:lang w:val="en-US" w:eastAsia="zh-CN"/>
              </w:rPr>
              <w:t>5</w:t>
            </w:r>
            <w:r>
              <w:rPr>
                <w:rFonts w:hint="eastAsia" w:ascii="微软雅黑" w:hAnsi="微软雅黑" w:eastAsia="微软雅黑" w:cs="微软雅黑"/>
                <w:b/>
                <w:color w:val="C00000"/>
                <w:sz w:val="24"/>
                <w:szCs w:val="24"/>
              </w:rPr>
              <w:t>分钟）</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1.叶酸的食物来源</w:t>
            </w:r>
          </w:p>
          <w:p>
            <w:pPr>
              <w:ind w:left="141" w:hanging="211" w:hangingChars="88"/>
              <w:rPr>
                <w:rFonts w:hint="eastAsia" w:ascii="微软雅黑" w:hAnsi="微软雅黑" w:eastAsia="微软雅黑" w:cs="微软雅黑"/>
                <w:sz w:val="24"/>
                <w:szCs w:val="24"/>
              </w:rPr>
            </w:pPr>
            <w:r>
              <w:rPr>
                <w:rFonts w:hint="eastAsia" w:ascii="微软雅黑" w:hAnsi="微软雅黑" w:eastAsia="微软雅黑" w:cs="微软雅黑"/>
                <w:sz w:val="24"/>
                <w:szCs w:val="24"/>
              </w:rPr>
              <w:t>①动物肝脏、蛋类、豆类、酵母、绿叶蔬菜、水果及坚果类</w:t>
            </w:r>
          </w:p>
          <w:p>
            <w:pPr>
              <w:ind w:left="141" w:hanging="211" w:hangingChars="88"/>
              <w:rPr>
                <w:rFonts w:hint="eastAsia" w:ascii="微软雅黑" w:hAnsi="微软雅黑" w:eastAsia="微软雅黑" w:cs="微软雅黑"/>
                <w:sz w:val="24"/>
                <w:szCs w:val="24"/>
              </w:rPr>
            </w:pPr>
            <w:r>
              <w:rPr>
                <w:rFonts w:hint="eastAsia" w:ascii="微软雅黑" w:hAnsi="微软雅黑" w:eastAsia="微软雅黑" w:cs="微软雅黑"/>
                <w:sz w:val="24"/>
                <w:szCs w:val="24"/>
              </w:rPr>
              <w:t>②孕妇每天补充400μg，持续3个月</w:t>
            </w:r>
          </w:p>
          <w:p>
            <w:pPr>
              <w:ind w:left="141" w:hanging="211" w:hangingChars="88"/>
              <w:rPr>
                <w:rFonts w:hint="eastAsia" w:ascii="微软雅黑" w:hAnsi="微软雅黑" w:eastAsia="微软雅黑" w:cs="微软雅黑"/>
                <w:sz w:val="24"/>
                <w:szCs w:val="24"/>
              </w:rPr>
            </w:pPr>
            <w:r>
              <w:rPr>
                <w:rFonts w:hint="eastAsia" w:ascii="微软雅黑" w:hAnsi="微软雅黑" w:eastAsia="微软雅黑" w:cs="微软雅黑"/>
                <w:sz w:val="24"/>
                <w:szCs w:val="24"/>
              </w:rPr>
              <w:t>③预防神经管畸形</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2.铁丰富的食物来源</w:t>
            </w:r>
          </w:p>
          <w:p>
            <w:pPr>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①动物血、肝脏及红肉</w:t>
            </w:r>
          </w:p>
          <w:p>
            <w:pPr>
              <w:ind w:left="141" w:hanging="211" w:hangingChars="88"/>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②孕中期和孕晚期每日铁的推荐摄入量为24mg和29mg</w:t>
            </w:r>
          </w:p>
          <w:p>
            <w:pPr>
              <w:ind w:left="141" w:hanging="211" w:hangingChars="88"/>
              <w:rPr>
                <w:rFonts w:hint="eastAsia" w:ascii="微软雅黑" w:hAnsi="微软雅黑" w:eastAsia="微软雅黑" w:cs="微软雅黑"/>
                <w:color w:val="C00000"/>
                <w:sz w:val="24"/>
                <w:szCs w:val="24"/>
              </w:rPr>
            </w:pPr>
            <w:r>
              <w:rPr>
                <w:rFonts w:hint="eastAsia" w:ascii="微软雅黑" w:hAnsi="微软雅黑" w:eastAsia="微软雅黑" w:cs="微软雅黑"/>
                <w:color w:val="000000" w:themeColor="text1"/>
                <w:sz w:val="24"/>
                <w:szCs w:val="24"/>
              </w:rPr>
              <w:t>③摄入维生素C较多的蔬菜和水果，有助于提高膳食铁的吸收与利用率</w:t>
            </w:r>
          </w:p>
        </w:tc>
        <w:tc>
          <w:tcPr>
            <w:tcW w:w="5243" w:type="dxa"/>
            <w:shd w:val="clear" w:color="auto" w:fill="auto"/>
          </w:tcPr>
          <w:p>
            <w:pPr>
              <w:jc w:val="left"/>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讲授法、问答法、举例法</w:t>
            </w:r>
          </w:p>
          <w:p>
            <w:pPr>
              <w:jc w:val="left"/>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mc:AlternateContent>
                <mc:Choice Requires="wps">
                  <w:drawing>
                    <wp:inline distT="0" distB="0" distL="114300" distR="114300">
                      <wp:extent cx="3034030" cy="302260"/>
                      <wp:effectExtent l="8255" t="8255" r="20955" b="9525"/>
                      <wp:docPr id="31" name="矩形 31"/>
                      <wp:cNvGraphicFramePr/>
                      <a:graphic xmlns:a="http://schemas.openxmlformats.org/drawingml/2006/main">
                        <a:graphicData uri="http://schemas.microsoft.com/office/word/2010/wordprocessingShape">
                          <wps:wsp>
                            <wps:cNvSpPr>
                              <a:spLocks noChangeArrowheads="1"/>
                            </wps:cNvSpPr>
                            <wps:spPr bwMode="auto">
                              <a:xfrm>
                                <a:off x="0" y="0"/>
                                <a:ext cx="3034030" cy="302260"/>
                              </a:xfrm>
                              <a:prstGeom prst="rect">
                                <a:avLst/>
                              </a:prstGeom>
                              <a:noFill/>
                              <a:ln w="15875">
                                <a:solidFill>
                                  <a:srgbClr val="C00000"/>
                                </a:solidFill>
                                <a:miter lim="800000"/>
                              </a:ln>
                              <a:effectLst/>
                            </wps:spPr>
                            <wps:txbx>
                              <w:txbxContent>
                                <w:p>
                                  <w:pPr>
                                    <w:rPr>
                                      <w:rFonts w:ascii="幼圆" w:eastAsia="幼圆"/>
                                      <w:b/>
                                      <w:color w:val="C00000"/>
                                      <w:sz w:val="21"/>
                                      <w:szCs w:val="22"/>
                                    </w:rPr>
                                  </w:pPr>
                                  <w:r>
                                    <w:rPr>
                                      <w:rFonts w:hint="eastAsia" w:ascii="幼圆" w:eastAsia="幼圆"/>
                                      <w:b/>
                                      <w:color w:val="C00000"/>
                                      <w:sz w:val="21"/>
                                      <w:szCs w:val="22"/>
                                    </w:rPr>
                                    <w:t>重点2：</w:t>
                                  </w:r>
                                  <w:r>
                                    <w:rPr>
                                      <w:rFonts w:hint="eastAsia" w:ascii="Times New Roman" w:hAnsi="Times New Roman" w:eastAsia="幼圆" w:cs="Times New Roman"/>
                                      <w:b/>
                                      <w:color w:val="C00000"/>
                                      <w:sz w:val="21"/>
                                      <w:szCs w:val="36"/>
                                    </w:rPr>
                                    <w:t>叶酸的重要性</w:t>
                                  </w:r>
                                </w:p>
                                <w:p>
                                  <w:pPr>
                                    <w:rPr>
                                      <w:rFonts w:ascii="幼圆" w:eastAsia="幼圆"/>
                                      <w:b/>
                                      <w:color w:val="C00000"/>
                                      <w:sz w:val="22"/>
                                      <w:szCs w:val="22"/>
                                    </w:rPr>
                                  </w:pPr>
                                </w:p>
                              </w:txbxContent>
                            </wps:txbx>
                            <wps:bodyPr rot="0" vert="horz" wrap="square" lIns="91440" tIns="45720" rIns="91440" bIns="45720" anchor="t" anchorCtr="0" upright="1">
                              <a:noAutofit/>
                            </wps:bodyPr>
                          </wps:wsp>
                        </a:graphicData>
                      </a:graphic>
                    </wp:inline>
                  </w:drawing>
                </mc:Choice>
                <mc:Fallback>
                  <w:pict>
                    <v:rect id="_x0000_s1026" o:spid="_x0000_s1026" o:spt="1" style="height:23.8pt;width:238.9pt;" filled="f" stroked="t" coordsize="21600,21600" o:gfxdata="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9pBzdMAAAAEAQAADwAAAAAAAAABACAAAAAiAAAAZHJzL2Rvd25y&#10;ZXYueG1sUEsBAhQAFAAAAAgAh07iQJIDO+Y8AgAAYgQAAA4AAAAAAAAAAQAgAAAAIgEAAGRycy9l&#10;Mm9Eb2MueG1sUEsFBgAAAAAGAAYAWQEAANAFAAAAAA==&#10;">
                      <v:fill on="f" focussize="0,0"/>
                      <v:stroke weight="1.25pt" color="#C00000" miterlimit="8" joinstyle="miter"/>
                      <v:imagedata o:title=""/>
                      <o:lock v:ext="edit" aspectratio="f"/>
                      <v:textbox>
                        <w:txbxContent>
                          <w:p>
                            <w:pPr>
                              <w:rPr>
                                <w:rFonts w:ascii="幼圆" w:eastAsia="幼圆"/>
                                <w:b/>
                                <w:color w:val="C00000"/>
                                <w:sz w:val="21"/>
                                <w:szCs w:val="22"/>
                              </w:rPr>
                            </w:pPr>
                            <w:r>
                              <w:rPr>
                                <w:rFonts w:hint="eastAsia" w:ascii="幼圆" w:eastAsia="幼圆"/>
                                <w:b/>
                                <w:color w:val="C00000"/>
                                <w:sz w:val="21"/>
                                <w:szCs w:val="22"/>
                              </w:rPr>
                              <w:t>重点2：</w:t>
                            </w:r>
                            <w:r>
                              <w:rPr>
                                <w:rFonts w:hint="eastAsia" w:ascii="Times New Roman" w:hAnsi="Times New Roman" w:eastAsia="幼圆" w:cs="Times New Roman"/>
                                <w:b/>
                                <w:color w:val="C00000"/>
                                <w:sz w:val="21"/>
                                <w:szCs w:val="36"/>
                              </w:rPr>
                              <w:t>叶酸的重要性</w:t>
                            </w:r>
                          </w:p>
                          <w:p>
                            <w:pPr>
                              <w:rPr>
                                <w:rFonts w:ascii="幼圆" w:eastAsia="幼圆"/>
                                <w:b/>
                                <w:color w:val="C00000"/>
                                <w:sz w:val="22"/>
                                <w:szCs w:val="22"/>
                              </w:rPr>
                            </w:pPr>
                          </w:p>
                        </w:txbxContent>
                      </v:textbox>
                      <w10:wrap type="none"/>
                      <w10:anchorlock/>
                    </v:rect>
                  </w:pict>
                </mc:Fallback>
              </mc:AlternateContent>
            </w:r>
          </w:p>
          <w:p>
            <w:pPr>
              <w:rPr>
                <w:rFonts w:hint="eastAsia" w:ascii="微软雅黑" w:hAnsi="微软雅黑" w:eastAsia="微软雅黑" w:cs="微软雅黑"/>
                <w:color w:val="C00000"/>
                <w:sz w:val="24"/>
                <w:szCs w:val="24"/>
              </w:rPr>
            </w:pPr>
            <w:r>
              <w:rPr>
                <w:rFonts w:hint="eastAsia" w:ascii="微软雅黑" w:hAnsi="微软雅黑" w:eastAsia="微软雅黑" w:cs="微软雅黑"/>
                <w:color w:val="C00000"/>
                <w:sz w:val="24"/>
                <w:szCs w:val="24"/>
              </w:rPr>
              <w:t>突破方法：回顾叶酸的生理功能，强调备孕期夫妻双方补充叶酸的必要性。</w:t>
            </w:r>
          </w:p>
          <w:p>
            <w:pPr>
              <w:rPr>
                <w:rFonts w:hint="eastAsia" w:ascii="微软雅黑" w:hAnsi="微软雅黑" w:eastAsia="微软雅黑" w:cs="微软雅黑"/>
                <w:color w:val="000000"/>
                <w:sz w:val="24"/>
                <w:szCs w:val="24"/>
              </w:rPr>
            </w:pPr>
            <w:r>
              <w:rPr>
                <w:rFonts w:hint="eastAsia" w:ascii="微软雅黑" w:hAnsi="微软雅黑" w:eastAsia="微软雅黑" w:cs="微软雅黑"/>
                <w:color w:val="C00000"/>
                <w:sz w:val="24"/>
                <w:szCs w:val="24"/>
              </w:rPr>
              <w:t>给学生讲授</w:t>
            </w:r>
            <w:r>
              <w:rPr>
                <w:rFonts w:hint="eastAsia" w:ascii="微软雅黑" w:hAnsi="微软雅黑" w:eastAsia="微软雅黑" w:cs="微软雅黑"/>
                <w:b/>
                <w:color w:val="0000FF"/>
                <w:sz w:val="24"/>
                <w:szCs w:val="24"/>
              </w:rPr>
              <w:t>国家免费发放叶酸片，关爱孕妇健康的政策</w:t>
            </w:r>
            <w:r>
              <w:rPr>
                <w:rFonts w:hint="eastAsia" w:ascii="微软雅黑" w:hAnsi="微软雅黑" w:eastAsia="微软雅黑" w:cs="微软雅黑"/>
                <w:color w:val="C00000"/>
                <w:sz w:val="24"/>
                <w:szCs w:val="24"/>
              </w:rPr>
              <w:t>。</w:t>
            </w:r>
          </w:p>
          <w:p>
            <w:pPr>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drawing>
                <wp:inline distT="0" distB="0" distL="0" distR="0">
                  <wp:extent cx="3234690" cy="2698750"/>
                  <wp:effectExtent l="0" t="0" r="11430" b="13970"/>
                  <wp:docPr id="24" name="图片 24" descr="E:\文档\WeChat Files\wxid_6y061dn3egx412\FileStorage\Temp\3a2c10a921df726e974a0670d497f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文档\WeChat Files\wxid_6y061dn3egx412\FileStorage\Temp\3a2c10a921df726e974a0670d497f2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51238" cy="2713043"/>
                          </a:xfrm>
                          <a:prstGeom prst="rect">
                            <a:avLst/>
                          </a:prstGeom>
                          <a:noFill/>
                          <a:ln>
                            <a:noFill/>
                          </a:ln>
                        </pic:spPr>
                      </pic:pic>
                    </a:graphicData>
                  </a:graphic>
                </wp:inline>
              </w:drawing>
            </w:r>
          </w:p>
          <w:p>
            <w:pPr>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drawing>
                <wp:inline distT="0" distB="0" distL="0" distR="0">
                  <wp:extent cx="3234690" cy="1550670"/>
                  <wp:effectExtent l="0" t="0" r="11430" b="3810"/>
                  <wp:docPr id="26" name="图片 26" descr="E:\文档\WeChat Files\wxid_6y061dn3egx412\FileStorage\Temp\a04c2e1d2b2b4edcd2a692c9fa09d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文档\WeChat Files\wxid_6y061dn3egx412\FileStorage\Temp\a04c2e1d2b2b4edcd2a692c9fa09d6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47322" cy="1556580"/>
                          </a:xfrm>
                          <a:prstGeom prst="rect">
                            <a:avLst/>
                          </a:prstGeom>
                          <a:noFill/>
                          <a:ln>
                            <a:noFill/>
                          </a:ln>
                        </pic:spPr>
                      </pic:pic>
                    </a:graphicData>
                  </a:graphic>
                </wp:inline>
              </w:drawing>
            </w:r>
          </w:p>
        </w:tc>
        <w:tc>
          <w:tcPr>
            <w:tcW w:w="1417"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1.学生重点掌握备孕妇女补充叶酸的重要性。</w:t>
            </w:r>
          </w:p>
          <w:p>
            <w:pPr>
              <w:rPr>
                <w:rFonts w:hint="eastAsia" w:ascii="微软雅黑" w:hAnsi="微软雅黑" w:eastAsia="微软雅黑" w:cs="微软雅黑"/>
                <w:b/>
                <w:color w:val="0000FF"/>
                <w:sz w:val="24"/>
                <w:szCs w:val="24"/>
              </w:rPr>
            </w:pPr>
            <w:r>
              <w:rPr>
                <w:rFonts w:hint="eastAsia" w:ascii="微软雅黑" w:hAnsi="微软雅黑" w:eastAsia="微软雅黑" w:cs="微软雅黑"/>
                <w:b/>
                <w:color w:val="0000FF"/>
                <w:sz w:val="24"/>
                <w:szCs w:val="24"/>
              </w:rPr>
              <w:t>2.通过专业知识指导特殊人群的健康饮食，为提升国民健康贡献力量，强调社会责任。</w:t>
            </w:r>
          </w:p>
          <w:p>
            <w:pPr>
              <w:rPr>
                <w:rFonts w:hint="eastAsia" w:ascii="微软雅黑" w:hAnsi="微软雅黑" w:eastAsia="微软雅黑" w:cs="微软雅黑"/>
                <w:b/>
                <w:sz w:val="24"/>
                <w:szCs w:val="24"/>
              </w:rPr>
            </w:pPr>
            <w:r>
              <w:rPr>
                <w:rFonts w:hint="eastAsia" w:ascii="微软雅黑" w:hAnsi="微软雅黑" w:eastAsia="微软雅黑" w:cs="微软雅黑"/>
                <w:b/>
                <w:color w:val="0000FF"/>
                <w:sz w:val="24"/>
                <w:szCs w:val="24"/>
              </w:rPr>
              <w:t>3.从国家免费发放叶酸片政策，加深国家关心孕妇营养的爱国情怀。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trPr>
        <w:tc>
          <w:tcPr>
            <w:tcW w:w="3796" w:type="dxa"/>
            <w:shd w:val="clear" w:color="auto" w:fill="auto"/>
          </w:tcPr>
          <w:p>
            <w:pPr>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【相关链接】（</w:t>
            </w:r>
            <w:r>
              <w:rPr>
                <w:rFonts w:hint="eastAsia" w:ascii="微软雅黑" w:hAnsi="微软雅黑" w:eastAsia="微软雅黑" w:cs="微软雅黑"/>
                <w:b/>
                <w:color w:val="C00000"/>
                <w:sz w:val="24"/>
                <w:szCs w:val="24"/>
                <w:lang w:val="en-US" w:eastAsia="zh-CN"/>
              </w:rPr>
              <w:t>5</w:t>
            </w:r>
            <w:r>
              <w:rPr>
                <w:rFonts w:hint="eastAsia" w:ascii="微软雅黑" w:hAnsi="微软雅黑" w:eastAsia="微软雅黑" w:cs="微软雅黑"/>
                <w:b/>
                <w:color w:val="C00000"/>
                <w:sz w:val="24"/>
                <w:szCs w:val="24"/>
              </w:rPr>
              <w:t>分钟）</w:t>
            </w:r>
          </w:p>
          <w:p>
            <w:pPr>
              <w:rPr>
                <w:rFonts w:hint="eastAsia" w:ascii="微软雅黑" w:hAnsi="微软雅黑" w:eastAsia="微软雅黑" w:cs="微软雅黑"/>
                <w:color w:val="C00000"/>
                <w:sz w:val="24"/>
                <w:szCs w:val="24"/>
              </w:rPr>
            </w:pPr>
            <w:bookmarkStart w:id="0" w:name="OLE_LINK5"/>
            <w:r>
              <w:rPr>
                <w:rFonts w:hint="eastAsia" w:ascii="微软雅黑" w:hAnsi="微软雅黑" w:eastAsia="微软雅黑" w:cs="微软雅黑"/>
                <w:color w:val="C00000"/>
                <w:sz w:val="24"/>
                <w:szCs w:val="24"/>
              </w:rPr>
              <w:t xml:space="preserve">推荐孕妇补充DHA </w:t>
            </w:r>
          </w:p>
          <w:bookmarkEnd w:id="0"/>
          <w:p>
            <w:pPr>
              <w:jc w:val="left"/>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1.DHA即二十二碳六烯酸，是一种重要的多不饱和脂肪酸。</w:t>
            </w:r>
          </w:p>
          <w:p>
            <w:pPr>
              <w:jc w:val="left"/>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2.DHA存在于人体的各处，占大脑皮层总脂质的20%，占视网膜脂质的50%以上。</w:t>
            </w:r>
          </w:p>
          <w:p>
            <w:pPr>
              <w:jc w:val="left"/>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3.DHA是神经系统和视觉系统细胞生长及维持细胞活力所需的重要物质，特别是对促进婴幼儿神经及视觉发育，预防成年人神经蜕变具有重要意义</w:t>
            </w:r>
          </w:p>
          <w:p>
            <w:pPr>
              <w:jc w:val="left"/>
              <w:rPr>
                <w:rFonts w:hint="eastAsia" w:ascii="微软雅黑" w:hAnsi="微软雅黑" w:eastAsia="微软雅黑" w:cs="微软雅黑"/>
                <w:color w:val="C00000"/>
                <w:sz w:val="24"/>
                <w:szCs w:val="24"/>
              </w:rPr>
            </w:pPr>
            <w:r>
              <w:rPr>
                <w:rFonts w:hint="eastAsia" w:ascii="微软雅黑" w:hAnsi="微软雅黑" w:eastAsia="微软雅黑" w:cs="微软雅黑"/>
                <w:color w:val="000000" w:themeColor="text1"/>
                <w:sz w:val="24"/>
                <w:szCs w:val="24"/>
              </w:rPr>
              <w:t>4.</w:t>
            </w:r>
            <w:r>
              <w:rPr>
                <w:rFonts w:hint="eastAsia" w:ascii="微软雅黑" w:hAnsi="微软雅黑" w:eastAsia="微软雅黑" w:cs="微软雅黑"/>
                <w:b/>
                <w:color w:val="0000FF"/>
                <w:sz w:val="24"/>
                <w:szCs w:val="24"/>
              </w:rPr>
              <w:t>DHA称为“脑黄金”</w:t>
            </w:r>
          </w:p>
        </w:tc>
        <w:tc>
          <w:tcPr>
            <w:tcW w:w="5243" w:type="dxa"/>
            <w:shd w:val="clear" w:color="auto" w:fill="auto"/>
          </w:tcPr>
          <w:p>
            <w:pPr>
              <w:jc w:val="left"/>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讲授法和举例法</w:t>
            </w:r>
          </w:p>
          <w:p>
            <w:pPr>
              <w:jc w:val="center"/>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drawing>
                <wp:inline distT="0" distB="0" distL="0" distR="0">
                  <wp:extent cx="3337560" cy="2105660"/>
                  <wp:effectExtent l="0" t="0" r="0" b="12700"/>
                  <wp:docPr id="30" name="图片 30" descr="E:\文档\WeChat Files\wxid_6y061dn3egx412\FileStorage\Temp\7183706d7790d93e61352a27c45fb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文档\WeChat Files\wxid_6y061dn3egx412\FileStorage\Temp\7183706d7790d93e61352a27c45fbd6.png"/>
                          <pic:cNvPicPr>
                            <a:picLocks noChangeAspect="1" noChangeArrowheads="1"/>
                          </pic:cNvPicPr>
                        </pic:nvPicPr>
                        <pic:blipFill>
                          <a:blip r:embed="rId16">
                            <a:extLst>
                              <a:ext uri="{28A0092B-C50C-407E-A947-70E740481C1C}">
                                <a14:useLocalDpi xmlns:a14="http://schemas.microsoft.com/office/drawing/2010/main" val="0"/>
                              </a:ext>
                            </a:extLst>
                          </a:blip>
                          <a:srcRect b="49063"/>
                          <a:stretch>
                            <a:fillRect/>
                          </a:stretch>
                        </pic:blipFill>
                        <pic:spPr>
                          <a:xfrm>
                            <a:off x="0" y="0"/>
                            <a:ext cx="3350331" cy="2105660"/>
                          </a:xfrm>
                          <a:prstGeom prst="rect">
                            <a:avLst/>
                          </a:prstGeom>
                          <a:noFill/>
                          <a:ln>
                            <a:noFill/>
                          </a:ln>
                        </pic:spPr>
                      </pic:pic>
                    </a:graphicData>
                  </a:graphic>
                </wp:inline>
              </w:drawing>
            </w:r>
          </w:p>
        </w:tc>
        <w:tc>
          <w:tcPr>
            <w:tcW w:w="1417" w:type="dxa"/>
            <w:shd w:val="clear" w:color="auto" w:fill="auto"/>
          </w:tcPr>
          <w:p>
            <w:pPr>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1.DHA对孕妇营养的重要性。</w:t>
            </w:r>
          </w:p>
          <w:p>
            <w:pPr>
              <w:rPr>
                <w:rFonts w:hint="eastAsia" w:ascii="微软雅黑" w:hAnsi="微软雅黑" w:eastAsia="微软雅黑" w:cs="微软雅黑"/>
                <w:b/>
                <w:color w:val="0000FF"/>
                <w:sz w:val="24"/>
                <w:szCs w:val="24"/>
              </w:rPr>
            </w:pPr>
            <w:r>
              <w:rPr>
                <w:rFonts w:hint="eastAsia" w:ascii="微软雅黑" w:hAnsi="微软雅黑" w:eastAsia="微软雅黑" w:cs="微软雅黑"/>
                <w:b/>
                <w:color w:val="0000FF"/>
                <w:sz w:val="24"/>
                <w:szCs w:val="24"/>
              </w:rPr>
              <w:t>2.通过报道体现了科技兴国，增强学生的爱国心。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trPr>
        <w:tc>
          <w:tcPr>
            <w:tcW w:w="3796" w:type="dxa"/>
            <w:shd w:val="clear" w:color="auto" w:fill="auto"/>
          </w:tcPr>
          <w:p>
            <w:pPr>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三、膳食指南的实践应用</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（三）母乳喂养需做哪些准备</w:t>
            </w:r>
            <w:r>
              <w:rPr>
                <w:rFonts w:hint="eastAsia" w:ascii="微软雅黑" w:hAnsi="微软雅黑" w:eastAsia="微软雅黑" w:cs="微软雅黑"/>
                <w:b/>
                <w:color w:val="C00000"/>
                <w:sz w:val="24"/>
                <w:szCs w:val="24"/>
              </w:rPr>
              <w:t>（</w:t>
            </w:r>
            <w:r>
              <w:rPr>
                <w:rFonts w:hint="eastAsia" w:ascii="微软雅黑" w:hAnsi="微软雅黑" w:eastAsia="微软雅黑" w:cs="微软雅黑"/>
                <w:b/>
                <w:color w:val="C00000"/>
                <w:sz w:val="24"/>
                <w:szCs w:val="24"/>
                <w:lang w:val="en-US" w:eastAsia="zh-CN"/>
              </w:rPr>
              <w:t>5</w:t>
            </w:r>
            <w:r>
              <w:rPr>
                <w:rFonts w:hint="eastAsia" w:ascii="微软雅黑" w:hAnsi="微软雅黑" w:eastAsia="微软雅黑" w:cs="微软雅黑"/>
                <w:b/>
                <w:color w:val="C00000"/>
                <w:sz w:val="24"/>
                <w:szCs w:val="24"/>
              </w:rPr>
              <w:t>分钟）</w:t>
            </w:r>
          </w:p>
          <w:p>
            <w:pPr>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1.心理准备</w:t>
            </w:r>
          </w:p>
          <w:p>
            <w:pPr>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2.营养准备</w:t>
            </w:r>
          </w:p>
          <w:p>
            <w:pPr>
              <w:rPr>
                <w:rFonts w:hint="eastAsia" w:ascii="微软雅黑" w:hAnsi="微软雅黑" w:eastAsia="微软雅黑" w:cs="微软雅黑"/>
                <w:color w:val="C00000"/>
                <w:sz w:val="24"/>
                <w:szCs w:val="24"/>
              </w:rPr>
            </w:pPr>
            <w:r>
              <w:rPr>
                <w:rFonts w:hint="eastAsia" w:ascii="微软雅黑" w:hAnsi="微软雅黑" w:eastAsia="微软雅黑" w:cs="微软雅黑"/>
                <w:color w:val="000000" w:themeColor="text1"/>
                <w:sz w:val="24"/>
                <w:szCs w:val="24"/>
              </w:rPr>
              <w:t>3.乳房护理</w:t>
            </w:r>
          </w:p>
        </w:tc>
        <w:tc>
          <w:tcPr>
            <w:tcW w:w="5243" w:type="dxa"/>
            <w:shd w:val="clear" w:color="auto" w:fill="auto"/>
          </w:tcPr>
          <w:p>
            <w:pPr>
              <w:jc w:val="left"/>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讲授法</w:t>
            </w:r>
          </w:p>
          <w:p>
            <w:pPr>
              <w:jc w:val="left"/>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1.母乳喂养对宝宝和妈妈都是最好的选择，任何代入品都无法取代母乳。</w:t>
            </w:r>
          </w:p>
          <w:p>
            <w:pPr>
              <w:jc w:val="left"/>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2.每一位准妈妈都要有用自己的乳汁哺育孩子的信心。</w:t>
            </w:r>
          </w:p>
          <w:p>
            <w:pPr>
              <w:jc w:val="left"/>
              <w:rPr>
                <w:rFonts w:hint="eastAsia" w:ascii="微软雅黑" w:hAnsi="微软雅黑" w:eastAsia="微软雅黑" w:cs="微软雅黑"/>
                <w:color w:val="000000" w:themeColor="text1"/>
                <w:sz w:val="24"/>
                <w:szCs w:val="24"/>
              </w:rPr>
            </w:pPr>
            <w:r>
              <w:rPr>
                <w:rFonts w:hint="eastAsia" w:ascii="微软雅黑" w:hAnsi="微软雅黑" w:eastAsia="微软雅黑" w:cs="微软雅黑"/>
                <w:color w:val="000000" w:themeColor="text1"/>
                <w:sz w:val="24"/>
                <w:szCs w:val="24"/>
              </w:rPr>
              <w:t>3.孕妇应尽早了解母乳喂养的益处</w:t>
            </w:r>
          </w:p>
          <w:p>
            <w:pPr>
              <w:jc w:val="left"/>
              <w:rPr>
                <w:rFonts w:hint="eastAsia" w:ascii="微软雅黑" w:hAnsi="微软雅黑" w:eastAsia="微软雅黑" w:cs="微软雅黑"/>
                <w:color w:val="C00000"/>
                <w:sz w:val="24"/>
                <w:szCs w:val="24"/>
              </w:rPr>
            </w:pPr>
            <w:r>
              <w:rPr>
                <w:rFonts w:hint="eastAsia" w:ascii="微软雅黑" w:hAnsi="微软雅黑" w:eastAsia="微软雅黑" w:cs="微软雅黑"/>
                <w:color w:val="000000" w:themeColor="text1"/>
                <w:sz w:val="24"/>
                <w:szCs w:val="24"/>
              </w:rPr>
              <w:t>4.加强母乳喂养的意愿，学习</w:t>
            </w:r>
            <w:r>
              <w:rPr>
                <w:rFonts w:hint="eastAsia" w:ascii="微软雅黑" w:hAnsi="微软雅黑" w:eastAsia="微软雅黑" w:cs="微软雅黑"/>
                <w:color w:val="000000" w:themeColor="text1"/>
                <w:sz w:val="24"/>
                <w:szCs w:val="24"/>
                <w:lang w:val="en-US" w:eastAsia="zh-CN"/>
              </w:rPr>
              <w:t>母乳</w:t>
            </w:r>
            <w:r>
              <w:rPr>
                <w:rFonts w:hint="eastAsia" w:ascii="微软雅黑" w:hAnsi="微软雅黑" w:eastAsia="微软雅黑" w:cs="微软雅黑"/>
                <w:color w:val="000000" w:themeColor="text1"/>
                <w:sz w:val="24"/>
                <w:szCs w:val="24"/>
              </w:rPr>
              <w:t>喂养的方法和技巧。</w:t>
            </w:r>
          </w:p>
        </w:tc>
        <w:tc>
          <w:tcPr>
            <w:tcW w:w="1417" w:type="dxa"/>
            <w:shd w:val="clear" w:color="auto" w:fill="auto"/>
          </w:tcPr>
          <w:p>
            <w:pPr>
              <w:rPr>
                <w:rFonts w:hint="eastAsia" w:ascii="微软雅黑" w:hAnsi="微软雅黑" w:eastAsia="微软雅黑" w:cs="微软雅黑"/>
                <w:color w:val="0000FF"/>
                <w:sz w:val="24"/>
                <w:szCs w:val="24"/>
              </w:rPr>
            </w:pPr>
            <w:r>
              <w:rPr>
                <w:rFonts w:hint="eastAsia" w:ascii="微软雅黑" w:hAnsi="微软雅黑" w:eastAsia="微软雅黑" w:cs="微软雅黑"/>
                <w:color w:val="000000" w:themeColor="text1"/>
                <w:sz w:val="24"/>
                <w:szCs w:val="24"/>
              </w:rPr>
              <w:t>学生母乳喂养的重要性</w:t>
            </w:r>
          </w:p>
        </w:tc>
      </w:tr>
    </w:tbl>
    <w:p>
      <w:pPr>
        <w:pStyle w:val="4"/>
        <w:spacing w:before="0" w:beforeAutospacing="0" w:after="0" w:afterAutospacing="0" w:line="500" w:lineRule="exact"/>
        <w:rPr>
          <w:rFonts w:hint="eastAsia" w:ascii="微软雅黑" w:hAnsi="微软雅黑" w:eastAsia="微软雅黑"/>
        </w:rPr>
      </w:pPr>
    </w:p>
    <w:p>
      <w:pPr>
        <w:pStyle w:val="4"/>
        <w:spacing w:before="0" w:beforeAutospacing="0" w:after="0" w:afterAutospacing="0" w:line="500" w:lineRule="exact"/>
        <w:rPr>
          <w:rFonts w:ascii="微软雅黑" w:hAnsi="微软雅黑" w:eastAsia="微软雅黑"/>
          <w:b/>
          <w:bCs/>
        </w:rPr>
      </w:pPr>
      <w:bookmarkStart w:id="2" w:name="_GoBack"/>
      <w:r>
        <w:rPr>
          <w:rFonts w:hint="eastAsia" w:ascii="微软雅黑" w:hAnsi="微软雅黑" w:eastAsia="微软雅黑"/>
          <w:b/>
          <w:bCs/>
        </w:rPr>
        <w:t>六、教学反思</w:t>
      </w:r>
    </w:p>
    <w:bookmarkEnd w:id="2"/>
    <w:tbl>
      <w:tblPr>
        <w:tblStyle w:val="5"/>
        <w:tblpPr w:leftFromText="180" w:rightFromText="180" w:vertAnchor="text" w:horzAnchor="page" w:tblpX="1043" w:tblpY="748"/>
        <w:tblOverlap w:val="never"/>
        <w:tblW w:w="10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8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0" w:type="dxa"/>
            <w:shd w:val="clear" w:color="auto" w:fill="F2DBDB"/>
          </w:tcPr>
          <w:p>
            <w:pPr>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归纳总结</w:t>
            </w:r>
          </w:p>
          <w:p>
            <w:pPr>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w:t>
            </w:r>
            <w:r>
              <w:rPr>
                <w:rFonts w:hint="eastAsia" w:ascii="微软雅黑" w:hAnsi="微软雅黑" w:eastAsia="微软雅黑" w:cs="微软雅黑"/>
                <w:b/>
                <w:sz w:val="24"/>
                <w:szCs w:val="24"/>
                <w:lang w:val="en-US" w:eastAsia="zh-CN"/>
              </w:rPr>
              <w:t>3</w:t>
            </w:r>
            <w:r>
              <w:rPr>
                <w:rFonts w:hint="eastAsia" w:ascii="微软雅黑" w:hAnsi="微软雅黑" w:eastAsia="微软雅黑" w:cs="微软雅黑"/>
                <w:b/>
                <w:sz w:val="24"/>
                <w:szCs w:val="24"/>
              </w:rPr>
              <w:t>分钟）</w:t>
            </w:r>
          </w:p>
        </w:tc>
        <w:tc>
          <w:tcPr>
            <w:tcW w:w="8930" w:type="dxa"/>
            <w:shd w:val="clear" w:color="auto" w:fill="auto"/>
          </w:tcPr>
          <w:p>
            <w:pPr>
              <w:rPr>
                <w:rFonts w:hint="eastAsia" w:ascii="微软雅黑" w:hAnsi="微软雅黑" w:eastAsia="微软雅黑" w:cs="微软雅黑"/>
                <w:b/>
                <w:color w:val="C00000"/>
                <w:sz w:val="24"/>
                <w:szCs w:val="24"/>
              </w:rPr>
            </w:pPr>
            <w:r>
              <w:rPr>
                <w:rFonts w:hint="eastAsia" w:ascii="微软雅黑" w:hAnsi="微软雅黑" w:eastAsia="微软雅黑" w:cs="微软雅黑"/>
                <w:b/>
                <w:color w:val="C00000"/>
                <w:sz w:val="24"/>
                <w:szCs w:val="24"/>
              </w:rPr>
              <w:t>归纳学习内容</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1.中国备孕妇女平衡膳食宝塔</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2.中国孕期妇女平衡膳食宝塔</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3.备孕和孕期妇女膳食指南核心内容</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4.膳食指南的实践应用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F2DBDB"/>
          </w:tcPr>
          <w:p>
            <w:pPr>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课后作业</w:t>
            </w:r>
          </w:p>
          <w:p>
            <w:pPr>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w:t>
            </w:r>
            <w:r>
              <w:rPr>
                <w:rFonts w:hint="eastAsia" w:ascii="微软雅黑" w:hAnsi="微软雅黑" w:eastAsia="微软雅黑" w:cs="微软雅黑"/>
                <w:b/>
                <w:sz w:val="24"/>
                <w:szCs w:val="24"/>
                <w:lang w:val="en-US" w:eastAsia="zh-CN"/>
              </w:rPr>
              <w:t>2</w:t>
            </w:r>
            <w:r>
              <w:rPr>
                <w:rFonts w:hint="eastAsia" w:ascii="微软雅黑" w:hAnsi="微软雅黑" w:eastAsia="微软雅黑" w:cs="微软雅黑"/>
                <w:b/>
                <w:sz w:val="24"/>
                <w:szCs w:val="24"/>
              </w:rPr>
              <w:t>分钟）</w:t>
            </w:r>
          </w:p>
        </w:tc>
        <w:tc>
          <w:tcPr>
            <w:tcW w:w="8930" w:type="dxa"/>
            <w:shd w:val="clear" w:color="auto" w:fill="auto"/>
          </w:tcPr>
          <w:p>
            <w:pPr>
              <w:rPr>
                <w:rFonts w:hint="eastAsia" w:ascii="微软雅黑" w:hAnsi="微软雅黑" w:eastAsia="微软雅黑" w:cs="微软雅黑"/>
                <w:b/>
                <w:sz w:val="24"/>
                <w:szCs w:val="24"/>
              </w:rPr>
            </w:pPr>
            <w:bookmarkStart w:id="1" w:name="OLE_LINK7"/>
            <w:r>
              <w:rPr>
                <w:rFonts w:hint="eastAsia" w:ascii="微软雅黑" w:hAnsi="微软雅黑" w:eastAsia="微软雅黑" w:cs="微软雅黑"/>
                <w:b/>
                <w:color w:val="C00000"/>
                <w:sz w:val="24"/>
                <w:szCs w:val="24"/>
              </w:rPr>
              <w:t>思考题</w:t>
            </w:r>
          </w:p>
          <w:bookmarkEnd w:id="1"/>
          <w:p>
            <w:pPr>
              <w:rPr>
                <w:rFonts w:hint="eastAsia" w:ascii="微软雅黑" w:hAnsi="微软雅黑" w:eastAsia="微软雅黑" w:cs="微软雅黑"/>
                <w:b w:val="0"/>
                <w:bCs/>
                <w:color w:val="auto"/>
                <w:sz w:val="24"/>
                <w:szCs w:val="24"/>
              </w:rPr>
            </w:pPr>
            <w:r>
              <w:rPr>
                <w:rFonts w:hint="eastAsia" w:ascii="微软雅黑" w:hAnsi="微软雅黑" w:eastAsia="微软雅黑" w:cs="微软雅黑"/>
                <w:b w:val="0"/>
                <w:bCs/>
                <w:color w:val="auto"/>
                <w:sz w:val="24"/>
                <w:szCs w:val="24"/>
              </w:rPr>
              <w:t>1.孕期母体营养对胎儿有何影响？</w:t>
            </w:r>
          </w:p>
          <w:p>
            <w:pPr>
              <w:rPr>
                <w:rFonts w:hint="eastAsia" w:ascii="微软雅黑" w:hAnsi="微软雅黑" w:eastAsia="微软雅黑" w:cs="微软雅黑"/>
                <w:b w:val="0"/>
                <w:bCs/>
                <w:color w:val="auto"/>
                <w:sz w:val="24"/>
                <w:szCs w:val="24"/>
              </w:rPr>
            </w:pPr>
            <w:r>
              <w:rPr>
                <w:rFonts w:hint="eastAsia" w:ascii="微软雅黑" w:hAnsi="微软雅黑" w:eastAsia="微软雅黑" w:cs="微软雅黑"/>
                <w:b w:val="0"/>
                <w:bCs/>
                <w:color w:val="auto"/>
                <w:sz w:val="24"/>
                <w:szCs w:val="24"/>
              </w:rPr>
              <w:t>2.试述孕妇和乳母的饮食原则。</w:t>
            </w:r>
          </w:p>
          <w:p>
            <w:pPr>
              <w:rPr>
                <w:rFonts w:hint="eastAsia" w:ascii="微软雅黑" w:hAnsi="微软雅黑" w:eastAsia="微软雅黑" w:cs="微软雅黑"/>
                <w:b w:val="0"/>
                <w:bCs/>
                <w:color w:val="auto"/>
                <w:sz w:val="24"/>
                <w:szCs w:val="24"/>
              </w:rPr>
            </w:pPr>
            <w:r>
              <w:rPr>
                <w:rFonts w:hint="eastAsia" w:ascii="微软雅黑" w:hAnsi="微软雅黑" w:eastAsia="微软雅黑" w:cs="微软雅黑"/>
                <w:b w:val="0"/>
                <w:bCs/>
                <w:color w:val="auto"/>
                <w:sz w:val="24"/>
                <w:szCs w:val="24"/>
              </w:rPr>
              <w:t>3.孕期营养不良对母体及胎儿有何影响？</w:t>
            </w:r>
          </w:p>
          <w:p>
            <w:pPr>
              <w:rPr>
                <w:rFonts w:hint="eastAsia" w:ascii="微软雅黑" w:hAnsi="微软雅黑" w:eastAsia="微软雅黑" w:cs="微软雅黑"/>
                <w:b w:val="0"/>
                <w:bCs/>
                <w:color w:val="auto"/>
                <w:sz w:val="24"/>
                <w:szCs w:val="24"/>
              </w:rPr>
            </w:pPr>
            <w:r>
              <w:rPr>
                <w:rFonts w:hint="eastAsia" w:ascii="微软雅黑" w:hAnsi="微软雅黑" w:eastAsia="微软雅黑" w:cs="微软雅黑"/>
                <w:b w:val="0"/>
                <w:bCs/>
                <w:color w:val="auto"/>
                <w:sz w:val="24"/>
                <w:szCs w:val="24"/>
              </w:rPr>
              <w:t>4.乳母膳食中各种营养素水平对乳汁成份有何影响？</w:t>
            </w:r>
          </w:p>
          <w:p>
            <w:pPr>
              <w:rPr>
                <w:rFonts w:hint="eastAsia" w:ascii="微软雅黑" w:hAnsi="微软雅黑" w:eastAsia="微软雅黑" w:cs="微软雅黑"/>
                <w:b w:val="0"/>
                <w:bCs/>
                <w:color w:val="auto"/>
                <w:sz w:val="24"/>
                <w:szCs w:val="24"/>
              </w:rPr>
            </w:pPr>
            <w:r>
              <w:rPr>
                <w:rFonts w:hint="eastAsia" w:ascii="微软雅黑" w:hAnsi="微软雅黑" w:eastAsia="微软雅黑" w:cs="微软雅黑"/>
                <w:b w:val="0"/>
                <w:bCs/>
                <w:color w:val="auto"/>
                <w:sz w:val="24"/>
                <w:szCs w:val="24"/>
              </w:rPr>
              <w:t>5.试述母乳喂养的好处？</w:t>
            </w:r>
          </w:p>
          <w:p>
            <w:pPr>
              <w:rPr>
                <w:rFonts w:hint="eastAsia" w:ascii="微软雅黑" w:hAnsi="微软雅黑" w:eastAsia="微软雅黑" w:cs="微软雅黑"/>
                <w:b w:val="0"/>
                <w:bCs/>
                <w:color w:val="auto"/>
                <w:sz w:val="24"/>
                <w:szCs w:val="24"/>
              </w:rPr>
            </w:pPr>
            <w:r>
              <w:rPr>
                <w:rFonts w:hint="eastAsia" w:ascii="微软雅黑" w:hAnsi="微软雅黑" w:eastAsia="微软雅黑" w:cs="微软雅黑"/>
                <w:b w:val="0"/>
                <w:bCs/>
                <w:color w:val="auto"/>
                <w:sz w:val="24"/>
                <w:szCs w:val="24"/>
                <w:lang w:val="en-US" w:eastAsia="zh-CN"/>
              </w:rPr>
              <w:t>6.</w:t>
            </w:r>
            <w:r>
              <w:rPr>
                <w:rFonts w:hint="eastAsia" w:ascii="微软雅黑" w:hAnsi="微软雅黑" w:eastAsia="微软雅黑" w:cs="微软雅黑"/>
                <w:sz w:val="24"/>
                <w:szCs w:val="24"/>
              </w:rPr>
              <w:t>查阅资料，国家在保障孕妇的营养健康中还做了哪些工作？</w:t>
            </w:r>
          </w:p>
          <w:p>
            <w:pPr>
              <w:rPr>
                <w:rFonts w:hint="eastAsia" w:ascii="微软雅黑" w:hAnsi="微软雅黑" w:eastAsia="微软雅黑" w:cs="微软雅黑"/>
                <w:b/>
                <w:sz w:val="24"/>
                <w:szCs w:val="24"/>
              </w:rPr>
            </w:pPr>
            <w:r>
              <w:rPr>
                <w:rFonts w:hint="eastAsia" w:ascii="微软雅黑" w:hAnsi="微软雅黑" w:eastAsia="微软雅黑" w:cs="微软雅黑"/>
                <w:b/>
                <w:color w:val="C00000"/>
                <w:sz w:val="24"/>
                <w:szCs w:val="24"/>
              </w:rPr>
              <w:t>作业</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预习</w:t>
            </w:r>
            <w:r>
              <w:rPr>
                <w:rFonts w:hint="eastAsia" w:ascii="微软雅黑" w:hAnsi="微软雅黑" w:eastAsia="微软雅黑" w:cs="微软雅黑"/>
                <w:sz w:val="24"/>
                <w:szCs w:val="24"/>
                <w:lang w:val="en-US" w:eastAsia="zh-CN"/>
              </w:rPr>
              <w:t>婴幼儿</w:t>
            </w:r>
            <w:r>
              <w:rPr>
                <w:rFonts w:hint="eastAsia" w:ascii="微软雅黑" w:hAnsi="微软雅黑" w:eastAsia="微软雅黑" w:cs="微软雅黑"/>
                <w:sz w:val="24"/>
                <w:szCs w:val="24"/>
              </w:rPr>
              <w:t>膳食指南的核心内容。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1560" w:type="dxa"/>
            <w:shd w:val="clear" w:color="auto" w:fill="F2DBDB"/>
          </w:tcPr>
          <w:p>
            <w:pPr>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课后反思</w:t>
            </w:r>
          </w:p>
        </w:tc>
        <w:tc>
          <w:tcPr>
            <w:tcW w:w="8930" w:type="dxa"/>
            <w:shd w:val="clear" w:color="auto" w:fill="auto"/>
          </w:tcPr>
          <w:p>
            <w:pPr>
              <w:ind w:firstLine="480" w:firstLineChars="20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孕期营养不良（包括缺乏或过剩）都会对孕妇及胎儿健康产生直接影响，因此在孕期内合理适量的营养保障对孕妇及胎儿健康、提升新生儿质量都具有十分积极意义。改善孕妇的营养与健康状况，将对提高我国人口素质具有重要战略意义。而孕期营养知识的宣传和普及大多处于滞后的状态，营养健康教育联合针对性营养指导能改善孕妇的营养状况，减少妊娠期及新生儿并发症，改善母婴结局。故加强学生对孕期妇女营养的认识，培养专业的营养学人才将对提升国民健康水平起到重要作用。课堂做到以学生为主体，注重学生自主学习能力和探究能力的培养。建立知识传授、能力培养和价值塑造三位一体的育人模式，落实立德树人。且把职业认同感、社会责任感、无私奉献等精神融入课堂，鼓励学生夯实专业基础，最终有效地服务于大众服务于社会，帮助学生树立正确的人生观和价值观。不足在于课堂内容相对较多，且要采取一定的激励措施，调动学生课后自主学习的积极性，增加对学生学习效果的考核和追踪，切实掌握学生的学习情况</w:t>
            </w:r>
            <w:r>
              <w:rPr>
                <w:rFonts w:hint="eastAsia" w:ascii="微软雅黑" w:hAnsi="微软雅黑" w:eastAsia="微软雅黑" w:cs="微软雅黑"/>
                <w:sz w:val="24"/>
                <w:szCs w:val="24"/>
                <w:lang w:eastAsia="zh-CN"/>
              </w:rPr>
              <w:t>。</w:t>
            </w:r>
          </w:p>
        </w:tc>
      </w:tr>
    </w:tbl>
    <w:p>
      <w:pPr>
        <w:rPr>
          <w:rFonts w:hint="eastAsia"/>
        </w:rPr>
      </w:pPr>
      <w:r>
        <w:rPr>
          <w:rFonts w:hint="eastAsia"/>
        </w:rPr>
        <w:t xml:space="preserve"> </w:t>
      </w:r>
    </w:p>
    <w:p>
      <w:pPr>
        <w:spacing w:line="500" w:lineRule="exact"/>
        <w:rPr>
          <w:rFonts w:ascii="微软雅黑" w:hAnsi="微软雅黑" w:eastAsia="微软雅黑"/>
          <w:color w:val="0070C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auto"/>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307543"/>
    <w:multiLevelType w:val="singleLevel"/>
    <w:tmpl w:val="C0307543"/>
    <w:lvl w:ilvl="0" w:tentative="0">
      <w:start w:val="1"/>
      <w:numFmt w:val="chineseCounting"/>
      <w:suff w:val="nothing"/>
      <w:lvlText w:val="%1、"/>
      <w:lvlJc w:val="left"/>
      <w:rPr>
        <w:rFonts w:hint="eastAsia"/>
      </w:rPr>
    </w:lvl>
  </w:abstractNum>
  <w:abstractNum w:abstractNumId="1">
    <w:nsid w:val="E21592D2"/>
    <w:multiLevelType w:val="multilevel"/>
    <w:tmpl w:val="E21592D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0F655C4"/>
    <w:multiLevelType w:val="multilevel"/>
    <w:tmpl w:val="70F655C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hmMmVlODRiZTE3YjEwOTM1OWRlOWE1MmIxMjRkYmEifQ=="/>
  </w:docVars>
  <w:rsids>
    <w:rsidRoot w:val="000679F8"/>
    <w:rsid w:val="0003036C"/>
    <w:rsid w:val="00041B2B"/>
    <w:rsid w:val="00056422"/>
    <w:rsid w:val="000679F8"/>
    <w:rsid w:val="000D1A8E"/>
    <w:rsid w:val="000E06EC"/>
    <w:rsid w:val="00132EB3"/>
    <w:rsid w:val="00140204"/>
    <w:rsid w:val="00170BDF"/>
    <w:rsid w:val="001873A4"/>
    <w:rsid w:val="001A2B4E"/>
    <w:rsid w:val="001C4990"/>
    <w:rsid w:val="001C72C8"/>
    <w:rsid w:val="001D6BBA"/>
    <w:rsid w:val="001E5525"/>
    <w:rsid w:val="00201A1F"/>
    <w:rsid w:val="0024577D"/>
    <w:rsid w:val="002A6640"/>
    <w:rsid w:val="002D2ED2"/>
    <w:rsid w:val="00306F11"/>
    <w:rsid w:val="00337889"/>
    <w:rsid w:val="00364894"/>
    <w:rsid w:val="003C5D20"/>
    <w:rsid w:val="00414462"/>
    <w:rsid w:val="00417FBB"/>
    <w:rsid w:val="00427D9B"/>
    <w:rsid w:val="004A4F04"/>
    <w:rsid w:val="005551B1"/>
    <w:rsid w:val="0058310F"/>
    <w:rsid w:val="005B2577"/>
    <w:rsid w:val="005B71FD"/>
    <w:rsid w:val="005C0683"/>
    <w:rsid w:val="005C6F20"/>
    <w:rsid w:val="00607582"/>
    <w:rsid w:val="006167A8"/>
    <w:rsid w:val="00622312"/>
    <w:rsid w:val="006866D6"/>
    <w:rsid w:val="006966C4"/>
    <w:rsid w:val="006F0AE7"/>
    <w:rsid w:val="00752769"/>
    <w:rsid w:val="00793BB7"/>
    <w:rsid w:val="007F2D73"/>
    <w:rsid w:val="008413D2"/>
    <w:rsid w:val="00845BE8"/>
    <w:rsid w:val="00852860"/>
    <w:rsid w:val="008606DE"/>
    <w:rsid w:val="00864253"/>
    <w:rsid w:val="00872263"/>
    <w:rsid w:val="00874D53"/>
    <w:rsid w:val="008D5EA7"/>
    <w:rsid w:val="008F787E"/>
    <w:rsid w:val="00911619"/>
    <w:rsid w:val="00936289"/>
    <w:rsid w:val="009809FC"/>
    <w:rsid w:val="00987E4B"/>
    <w:rsid w:val="00A32E15"/>
    <w:rsid w:val="00A5223E"/>
    <w:rsid w:val="00A64A01"/>
    <w:rsid w:val="00A72969"/>
    <w:rsid w:val="00A74C3F"/>
    <w:rsid w:val="00A871A7"/>
    <w:rsid w:val="00AB743A"/>
    <w:rsid w:val="00AF3679"/>
    <w:rsid w:val="00B64531"/>
    <w:rsid w:val="00B85372"/>
    <w:rsid w:val="00B93F2F"/>
    <w:rsid w:val="00BC1061"/>
    <w:rsid w:val="00C23C0F"/>
    <w:rsid w:val="00C43F4B"/>
    <w:rsid w:val="00CD24DE"/>
    <w:rsid w:val="00CD6A6F"/>
    <w:rsid w:val="00D1278F"/>
    <w:rsid w:val="00D37DC9"/>
    <w:rsid w:val="00D66408"/>
    <w:rsid w:val="00D70BCF"/>
    <w:rsid w:val="00D72BB9"/>
    <w:rsid w:val="00D978F1"/>
    <w:rsid w:val="00DA089D"/>
    <w:rsid w:val="00DA79CD"/>
    <w:rsid w:val="00E068CE"/>
    <w:rsid w:val="00E21FB0"/>
    <w:rsid w:val="00E64BB8"/>
    <w:rsid w:val="00EA564A"/>
    <w:rsid w:val="00EC7E59"/>
    <w:rsid w:val="00EE4D5A"/>
    <w:rsid w:val="00F075A9"/>
    <w:rsid w:val="00F70EE5"/>
    <w:rsid w:val="00FB7CE5"/>
    <w:rsid w:val="00FC784E"/>
    <w:rsid w:val="047A5783"/>
    <w:rsid w:val="04F43E6A"/>
    <w:rsid w:val="05974BFC"/>
    <w:rsid w:val="08444F0A"/>
    <w:rsid w:val="0ADF0A36"/>
    <w:rsid w:val="0AEB73DB"/>
    <w:rsid w:val="10A2678D"/>
    <w:rsid w:val="131A5A7C"/>
    <w:rsid w:val="14261483"/>
    <w:rsid w:val="14983A03"/>
    <w:rsid w:val="16377465"/>
    <w:rsid w:val="163C4580"/>
    <w:rsid w:val="17320806"/>
    <w:rsid w:val="17A83D19"/>
    <w:rsid w:val="19A540AB"/>
    <w:rsid w:val="218075D5"/>
    <w:rsid w:val="28F2772E"/>
    <w:rsid w:val="2CA64AB8"/>
    <w:rsid w:val="2CD77367"/>
    <w:rsid w:val="2D8868B3"/>
    <w:rsid w:val="2DB301CF"/>
    <w:rsid w:val="2F6B3D97"/>
    <w:rsid w:val="32E33A3A"/>
    <w:rsid w:val="3AE96BE3"/>
    <w:rsid w:val="3B3B31B7"/>
    <w:rsid w:val="3B9D79CE"/>
    <w:rsid w:val="3BD57167"/>
    <w:rsid w:val="413606A8"/>
    <w:rsid w:val="41951D25"/>
    <w:rsid w:val="428E62C2"/>
    <w:rsid w:val="46F661E4"/>
    <w:rsid w:val="481D611E"/>
    <w:rsid w:val="4B05246C"/>
    <w:rsid w:val="4C4243A5"/>
    <w:rsid w:val="4F961F9E"/>
    <w:rsid w:val="51292338"/>
    <w:rsid w:val="53230361"/>
    <w:rsid w:val="53A50811"/>
    <w:rsid w:val="5AA1673B"/>
    <w:rsid w:val="5C357C65"/>
    <w:rsid w:val="5DE51034"/>
    <w:rsid w:val="5DEC23C3"/>
    <w:rsid w:val="5E40232F"/>
    <w:rsid w:val="5EFE027B"/>
    <w:rsid w:val="5FC829BC"/>
    <w:rsid w:val="691E189E"/>
    <w:rsid w:val="6A7379C8"/>
    <w:rsid w:val="6AB204F0"/>
    <w:rsid w:val="6B4849B1"/>
    <w:rsid w:val="77505319"/>
    <w:rsid w:val="798C63B0"/>
    <w:rsid w:val="79E461EC"/>
    <w:rsid w:val="7BE14791"/>
    <w:rsid w:val="7CC0084B"/>
    <w:rsid w:val="7D0270B5"/>
    <w:rsid w:val="7DCC56E0"/>
    <w:rsid w:val="7F47525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iPriority w:val="99"/>
    <w:pPr>
      <w:tabs>
        <w:tab w:val="center" w:pos="4153"/>
        <w:tab w:val="right" w:pos="8306"/>
      </w:tabs>
      <w:snapToGrid w:val="0"/>
      <w:jc w:val="left"/>
    </w:pPr>
    <w:rPr>
      <w:sz w:val="18"/>
      <w:szCs w:val="18"/>
    </w:rPr>
  </w:style>
  <w:style w:type="paragraph" w:styleId="3">
    <w:name w:val="header"/>
    <w:basedOn w:val="1"/>
    <w:link w:val="10"/>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locked/>
    <w:uiPriority w:val="22"/>
    <w:rPr>
      <w:b/>
      <w:bCs/>
    </w:rPr>
  </w:style>
  <w:style w:type="character" w:customStyle="1" w:styleId="9">
    <w:name w:val="页脚 Char"/>
    <w:basedOn w:val="7"/>
    <w:link w:val="2"/>
    <w:qFormat/>
    <w:locked/>
    <w:uiPriority w:val="99"/>
    <w:rPr>
      <w:rFonts w:cs="Times New Roman"/>
      <w:sz w:val="18"/>
      <w:szCs w:val="18"/>
    </w:rPr>
  </w:style>
  <w:style w:type="character" w:customStyle="1" w:styleId="10">
    <w:name w:val="页眉 Char"/>
    <w:basedOn w:val="7"/>
    <w:link w:val="3"/>
    <w:qFormat/>
    <w:locked/>
    <w:uiPriority w:val="99"/>
    <w:rPr>
      <w:rFonts w:cs="Times New Roman"/>
      <w:sz w:val="18"/>
      <w:szCs w:val="18"/>
    </w:rPr>
  </w:style>
  <w:style w:type="paragraph" w:styleId="11">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566</Words>
  <Characters>3230</Characters>
  <Lines>26</Lines>
  <Paragraphs>7</Paragraphs>
  <TotalTime>0</TotalTime>
  <ScaleCrop>false</ScaleCrop>
  <LinksUpToDate>false</LinksUpToDate>
  <CharactersWithSpaces>3789</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2021-10-28T23:59:00Z</dcterms:created>
  <dc:creator>xiang rong</dc:creator>
  <cp:lastModifiedBy>搬砖儿童</cp:lastModifiedBy>
  <dcterms:modified xsi:type="dcterms:W3CDTF">2024-01-18T02:32:02Z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1E839AFAC0A3457286B37997174F0C22_13</vt:lpwstr>
  </property>
</Properties>
</file>